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16368</w:t>
      </w:r>
      <w:bookmarkStart w:id="8" w:name="_GoBack"/>
      <w:bookmarkEnd w:id="8"/>
    </w:p>
    <w:p>
      <w:pPr>
        <w:pStyle w:val="28"/>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6.26.4.1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2"/>
          <w:szCs w:val="22"/>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8"/>
        <w:rPr>
          <w:lang w:val="en-US"/>
        </w:rPr>
      </w:pPr>
      <w:r>
        <w:rPr>
          <w:lang w:val="en-US"/>
        </w:rPr>
        <w:t>Discussion</w:t>
      </w:r>
    </w:p>
    <w:p>
      <w:pPr>
        <w:rPr>
          <w:sz w:val="22"/>
          <w:szCs w:val="22"/>
          <w:lang w:val="en-US" w:eastAsia="zh-CN"/>
        </w:rPr>
      </w:pPr>
      <w:r>
        <w:rPr>
          <w:rFonts w:hint="eastAsia" w:eastAsia="宋体"/>
          <w:sz w:val="20"/>
          <w:szCs w:val="20"/>
          <w:lang w:val="en-US" w:eastAsia="zh-CN"/>
        </w:rPr>
        <w:t>The objectives of Rel-19 NTN phase 3 enhancement are described in [1] including:</w:t>
      </w:r>
      <w:r>
        <w:rPr>
          <w:rFonts w:hint="eastAsia"/>
          <w:sz w:val="22"/>
          <w:szCs w:val="22"/>
          <w:lang w:val="en-US" w:eastAsia="zh-CN"/>
        </w:rPr>
        <w:t xml:space="preserve">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120" w:beforeLines="50" w:after="120" w:afterLines="50"/>
              <w:rPr>
                <w:rFonts w:hint="default" w:eastAsia="宋体"/>
                <w:bCs/>
                <w:lang w:val="en-US" w:eastAsia="zh-CN"/>
              </w:rPr>
            </w:pPr>
            <w:r>
              <w:rPr>
                <w:rFonts w:hint="eastAsia" w:eastAsia="宋体"/>
                <w:bCs/>
                <w:lang w:val="en-US" w:eastAsia="zh-CN"/>
              </w:rPr>
              <w:t xml:space="preserve">2.1 </w:t>
            </w:r>
            <w:r>
              <w:rPr>
                <w:rFonts w:eastAsia="宋体"/>
                <w:bCs/>
              </w:rPr>
              <w:tab/>
            </w:r>
            <w:r>
              <w:rPr>
                <w:rFonts w:hint="eastAsia" w:eastAsia="宋体"/>
                <w:bCs/>
                <w:lang w:val="en-US" w:eastAsia="zh-CN"/>
              </w:rPr>
              <w:t>Support of RedCap and eRedCap UEs with NR NTN operating in FR1-NTN bands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meeting, we will discuss the scenarios and express our views on potential impact to RRM requirements towards the above objective. The objective will be divided into several aspects:</w:t>
      </w:r>
    </w:p>
    <w:p>
      <w:pPr>
        <w:pStyle w:val="80"/>
        <w:numPr>
          <w:ilvl w:val="1"/>
          <w:numId w:val="0"/>
        </w:numPr>
        <w:rPr>
          <w:rFonts w:hint="default"/>
          <w:lang w:val="en-US" w:eastAsia="zh-CN"/>
        </w:rPr>
      </w:pPr>
      <w:r>
        <w:rPr>
          <w:rFonts w:hint="eastAsia"/>
          <w:lang w:eastAsia="zh-CN"/>
        </w:rPr>
        <w:t>2.</w:t>
      </w:r>
      <w:r>
        <w:rPr>
          <w:rFonts w:hint="eastAsia"/>
          <w:lang w:val="en-US" w:eastAsia="zh-CN"/>
        </w:rPr>
        <w:t>1 Support of RedCap and eRedCap UEs with NR NTN operating in FR1-NTN bands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numPr>
                <w:ilvl w:val="0"/>
                <w:numId w:val="3"/>
              </w:numPr>
              <w:overflowPunct w:val="0"/>
              <w:autoSpaceDE w:val="0"/>
              <w:autoSpaceDN w:val="0"/>
              <w:adjustRightInd w:val="0"/>
              <w:spacing w:line="276" w:lineRule="auto"/>
              <w:jc w:val="left"/>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pPr>
              <w:pStyle w:val="74"/>
              <w:numPr>
                <w:ilvl w:val="0"/>
                <w:numId w:val="4"/>
              </w:numPr>
              <w:spacing w:line="276" w:lineRule="auto"/>
              <w:ind w:firstLineChars="0"/>
              <w:contextualSpacing/>
              <w:rPr>
                <w:rFonts w:ascii="Times New Roman" w:hAnsi="Times New Roman" w:cs="Times New Roman"/>
                <w:sz w:val="20"/>
                <w:szCs w:val="20"/>
                <w:highlight w:val="yellow"/>
              </w:rPr>
            </w:pPr>
            <w:r>
              <w:rPr>
                <w:rFonts w:ascii="Times New Roman" w:hAnsi="Times New Roman" w:cs="Times New Roman"/>
                <w:sz w:val="20"/>
                <w:szCs w:val="20"/>
                <w:highlight w:val="yellow"/>
              </w:rPr>
              <w:t>For full-duplex and half duplex FDD RedCap and eRedCap UEs, define the RF and RRM requirements [RAN4]</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Enhancements are targeted for the following HD collisions cases (cases 3 and 4):</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Semi-statically configured DL reception collides with semi-statically configured UL transmission </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Dynamically scheduled DL reception collides with dynamic scheduled UL transmission </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potential work in RAN2, if any, starts after RAN1 has decided on the solution.</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Notes for this objective:</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GNSS (Global Navigation Satellite Systems) capabilities and simultaneous GNSS and NR-NTN operation is supported in RedCap/eRedCap UE.</w:t>
            </w:r>
          </w:p>
          <w:p>
            <w:pPr>
              <w:spacing w:after="0"/>
              <w:ind w:left="0"/>
              <w:rPr>
                <w:rFonts w:eastAsia="宋体"/>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2.1.1 Applicability clarification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mainly agreed the concrete operating band of (e)RedCap UE with FR1-NTN bands and the specific duplex mode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-1</w:t>
            </w:r>
            <w:r>
              <w:rPr>
                <w:rFonts w:hint="eastAsia" w:ascii="Times New Roman" w:hAnsi="Times New Roman" w:cs="Times New Roman"/>
                <w:sz w:val="20"/>
                <w:u w:val="single"/>
                <w:lang w:eastAsia="zh-CN"/>
              </w:rPr>
              <w:t>-1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T</w:t>
            </w:r>
            <w:r>
              <w:rPr>
                <w:rFonts w:ascii="Times New Roman" w:hAnsi="Times New Roman" w:cs="Times New Roman"/>
                <w:sz w:val="20"/>
                <w:u w:val="single"/>
                <w:lang w:eastAsia="ko-KR"/>
              </w:rPr>
              <w:t>he operating band of (e)Redcap UE with FR1-NTN</w:t>
            </w:r>
          </w:p>
          <w:p>
            <w:pPr>
              <w:rPr>
                <w:b/>
                <w:bCs/>
                <w:szCs w:val="24"/>
                <w:lang w:val="en-GB" w:eastAsia="zh-CN"/>
              </w:rPr>
            </w:pPr>
            <w:r>
              <w:rPr>
                <w:b/>
              </w:rPr>
              <w:t>&lt;</w:t>
            </w:r>
            <w:r>
              <w:rPr>
                <w:rFonts w:hint="eastAsia"/>
                <w:b/>
                <w:lang w:eastAsia="zh-CN"/>
              </w:rPr>
              <w:t>Agreements</w:t>
            </w:r>
            <w:r>
              <w:rPr>
                <w:b/>
              </w:rPr>
              <w:t xml:space="preserve">&gt; </w:t>
            </w:r>
          </w:p>
          <w:p>
            <w:pPr>
              <w:pStyle w:val="74"/>
              <w:numPr>
                <w:ilvl w:val="0"/>
                <w:numId w:val="5"/>
              </w:numPr>
              <w:spacing w:after="120"/>
              <w:ind w:left="720"/>
              <w:contextualSpacing w:val="0"/>
              <w:rPr>
                <w:szCs w:val="24"/>
                <w:lang w:eastAsia="zh-CN"/>
              </w:rPr>
            </w:pPr>
            <w:r>
              <w:rPr>
                <w:rFonts w:hint="eastAsia"/>
                <w:szCs w:val="24"/>
                <w:lang w:eastAsia="zh-CN"/>
              </w:rPr>
              <w:t xml:space="preserve">For RRM </w:t>
            </w:r>
            <w:r>
              <w:rPr>
                <w:szCs w:val="24"/>
                <w:lang w:eastAsia="zh-CN"/>
              </w:rPr>
              <w:t>requirements</w:t>
            </w:r>
            <w:r>
              <w:rPr>
                <w:rFonts w:hint="eastAsia"/>
                <w:szCs w:val="24"/>
                <w:lang w:eastAsia="zh-CN"/>
              </w:rPr>
              <w:t>, t</w:t>
            </w:r>
            <w:r>
              <w:rPr>
                <w:szCs w:val="24"/>
                <w:lang w:eastAsia="zh-CN"/>
              </w:rPr>
              <w:t xml:space="preserve">he operating band of </w:t>
            </w:r>
            <w:r>
              <w:rPr>
                <w:rFonts w:hint="eastAsia"/>
                <w:szCs w:val="24"/>
                <w:lang w:eastAsia="zh-CN"/>
              </w:rPr>
              <w:t>(e)</w:t>
            </w:r>
            <w:r>
              <w:rPr>
                <w:szCs w:val="24"/>
                <w:lang w:eastAsia="zh-CN"/>
              </w:rPr>
              <w:t>Redcap UE</w:t>
            </w:r>
            <w:r>
              <w:rPr>
                <w:rFonts w:hint="eastAsia"/>
                <w:szCs w:val="24"/>
                <w:lang w:eastAsia="zh-CN"/>
              </w:rPr>
              <w:t xml:space="preserve"> with </w:t>
            </w:r>
            <w:r>
              <w:rPr>
                <w:szCs w:val="24"/>
                <w:lang w:eastAsia="zh-CN"/>
              </w:rPr>
              <w:t>FR1-NTN bands</w:t>
            </w:r>
            <w:r>
              <w:rPr>
                <w:rFonts w:hint="eastAsia"/>
                <w:szCs w:val="24"/>
                <w:lang w:eastAsia="zh-CN"/>
              </w:rPr>
              <w:t xml:space="preserve"> include a</w:t>
            </w:r>
            <w:r>
              <w:rPr>
                <w:szCs w:val="24"/>
                <w:lang w:eastAsia="zh-CN"/>
              </w:rPr>
              <w:t xml:space="preserve">ll </w:t>
            </w:r>
            <w:r>
              <w:rPr>
                <w:rFonts w:hint="eastAsia"/>
                <w:szCs w:val="24"/>
                <w:lang w:eastAsia="zh-CN"/>
              </w:rPr>
              <w:t xml:space="preserve">of </w:t>
            </w:r>
            <w:r>
              <w:rPr>
                <w:szCs w:val="24"/>
                <w:lang w:eastAsia="zh-CN"/>
              </w:rPr>
              <w:t xml:space="preserve">the </w:t>
            </w:r>
            <w:r>
              <w:rPr>
                <w:rFonts w:hint="eastAsia"/>
                <w:szCs w:val="24"/>
                <w:lang w:eastAsia="zh-CN"/>
              </w:rPr>
              <w:t xml:space="preserve">following </w:t>
            </w:r>
            <w:r>
              <w:rPr>
                <w:szCs w:val="24"/>
                <w:lang w:eastAsia="zh-CN"/>
              </w:rPr>
              <w:t>NR-NTN FR1-NTN bands</w:t>
            </w:r>
            <w:r>
              <w:rPr>
                <w:rFonts w:hint="eastAsia"/>
                <w:szCs w:val="24"/>
                <w:lang w:eastAsia="zh-CN"/>
              </w:rPr>
              <w:t>:</w:t>
            </w:r>
          </w:p>
          <w:p>
            <w:pPr>
              <w:pStyle w:val="74"/>
              <w:numPr>
                <w:ilvl w:val="1"/>
                <w:numId w:val="5"/>
              </w:numPr>
              <w:spacing w:after="120"/>
              <w:contextualSpacing w:val="0"/>
              <w:rPr>
                <w:rFonts w:eastAsiaTheme="minorEastAsia"/>
                <w:iCs/>
                <w:lang w:eastAsia="zh-CN"/>
              </w:rPr>
            </w:pPr>
            <w:r>
              <w:rPr>
                <w:rFonts w:eastAsiaTheme="minorEastAsia"/>
                <w:iCs/>
                <w:lang w:eastAsia="zh-CN"/>
              </w:rPr>
              <w:t>n256</w:t>
            </w:r>
            <w:r>
              <w:rPr>
                <w:rFonts w:hint="eastAsia" w:eastAsiaTheme="minorEastAsia"/>
                <w:iCs/>
                <w:lang w:eastAsia="zh-CN"/>
              </w:rPr>
              <w:t xml:space="preserve">, </w:t>
            </w:r>
            <w:r>
              <w:rPr>
                <w:rFonts w:eastAsiaTheme="minorEastAsia"/>
                <w:iCs/>
                <w:lang w:eastAsia="zh-CN"/>
              </w:rPr>
              <w:t>n255</w:t>
            </w:r>
            <w:r>
              <w:rPr>
                <w:rFonts w:hint="eastAsia" w:eastAsiaTheme="minorEastAsia"/>
                <w:iCs/>
                <w:lang w:eastAsia="zh-CN"/>
              </w:rPr>
              <w:t xml:space="preserve"> and </w:t>
            </w:r>
            <w:r>
              <w:rPr>
                <w:rFonts w:eastAsiaTheme="minorEastAsia"/>
                <w:iCs/>
                <w:lang w:eastAsia="zh-CN"/>
              </w:rPr>
              <w:t xml:space="preserve">n254 </w:t>
            </w:r>
            <w:r>
              <w:rPr>
                <w:rFonts w:hint="eastAsia" w:eastAsiaTheme="minorEastAsia"/>
                <w:iCs/>
                <w:lang w:eastAsia="zh-CN"/>
              </w:rPr>
              <w:t xml:space="preserve">defined in </w:t>
            </w:r>
            <w:r>
              <w:rPr>
                <w:rFonts w:eastAsiaTheme="minorEastAsia"/>
                <w:iCs/>
                <w:lang w:eastAsia="zh-CN"/>
              </w:rPr>
              <w:t>Table 5.2-1</w:t>
            </w:r>
            <w:r>
              <w:rPr>
                <w:rFonts w:hint="eastAsia" w:eastAsiaTheme="minorEastAsia"/>
                <w:iCs/>
                <w:lang w:eastAsia="zh-CN"/>
              </w:rPr>
              <w:t xml:space="preserve"> in TS 38.108. </w:t>
            </w:r>
          </w:p>
          <w:p>
            <w:pPr>
              <w:pStyle w:val="74"/>
              <w:numPr>
                <w:ilvl w:val="0"/>
                <w:numId w:val="5"/>
              </w:numPr>
              <w:spacing w:after="120"/>
              <w:ind w:left="720"/>
              <w:contextualSpacing w:val="0"/>
              <w:rPr>
                <w:rFonts w:hint="default" w:eastAsia="宋体"/>
                <w:sz w:val="22"/>
                <w:szCs w:val="22"/>
                <w:vertAlign w:val="baseline"/>
                <w:lang w:val="en-US" w:eastAsia="zh-CN"/>
              </w:rPr>
            </w:pPr>
            <w:r>
              <w:rPr>
                <w:rFonts w:hint="eastAsia"/>
                <w:szCs w:val="24"/>
                <w:lang w:eastAsia="zh-CN"/>
              </w:rPr>
              <w:t xml:space="preserve">For RRM </w:t>
            </w:r>
            <w:r>
              <w:rPr>
                <w:szCs w:val="24"/>
                <w:lang w:eastAsia="zh-CN"/>
              </w:rPr>
              <w:t>requirements</w:t>
            </w:r>
            <w:r>
              <w:rPr>
                <w:rFonts w:hint="eastAsia"/>
                <w:szCs w:val="24"/>
                <w:lang w:eastAsia="zh-CN"/>
              </w:rPr>
              <w:t xml:space="preserve">, RAN4 shall only study the FDD operation and no TDD discussion in NR NTN scenario.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agreed n256, n255 and n254 shall be considered for NR NTN. However, we find the following RF session conclusion in the last meeting:</w:t>
      </w:r>
    </w:p>
    <w:p>
      <w:pPr>
        <w:overflowPunct w:val="0"/>
        <w:autoSpaceDE w:val="0"/>
        <w:autoSpaceDN w:val="0"/>
        <w:adjustRightInd w:val="0"/>
        <w:spacing w:before="120" w:after="120" w:line="360" w:lineRule="auto"/>
        <w:jc w:val="center"/>
        <w:textAlignment w:val="baseline"/>
        <w:rPr>
          <w:rFonts w:hint="default" w:eastAsia="宋体"/>
          <w:sz w:val="22"/>
          <w:szCs w:val="22"/>
          <w:lang w:val="en-US" w:eastAsia="zh-CN"/>
        </w:rPr>
      </w:pPr>
      <w:r>
        <w:drawing>
          <wp:inline distT="0" distB="0" distL="114300" distR="114300">
            <wp:extent cx="4919980" cy="1824355"/>
            <wp:effectExtent l="0" t="0" r="254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919980" cy="18243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deem that for RRM requirements, the operating band of (e)RedCap UE with FR-NTN bands shall contain n250, n251, n252, n253 also.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RF session has already introduced the several new FR1-NTN operating FDD bands.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For RRM requirements, the operating band of (e)RedCap UE with FR-NTN bands shall contain n250, n251, n252, n253.</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2.1.2 RRM requirements for (e)RedCap UE with FR1-NTN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have discussed the potential requirements one by one and three general cases shall be considered:</w:t>
      </w:r>
    </w:p>
    <w:p>
      <w:pPr>
        <w:numPr>
          <w:ilvl w:val="0"/>
          <w:numId w:val="6"/>
        </w:numPr>
        <w:ind w:left="420" w:hanging="420"/>
        <w:rPr>
          <w:rFonts w:hint="default"/>
          <w:sz w:val="20"/>
          <w:szCs w:val="20"/>
          <w:lang w:val="en-US" w:eastAsia="zh-CN"/>
        </w:rPr>
      </w:pPr>
      <w:r>
        <w:rPr>
          <w:rFonts w:hint="eastAsia" w:eastAsia="宋体"/>
          <w:sz w:val="20"/>
          <w:szCs w:val="20"/>
          <w:lang w:val="en-US" w:eastAsia="zh-CN"/>
        </w:rPr>
        <w:t xml:space="preserve"> </w:t>
      </w:r>
      <w:r>
        <w:rPr>
          <w:rFonts w:hint="eastAsia"/>
          <w:sz w:val="20"/>
          <w:szCs w:val="20"/>
          <w:lang w:val="en-US" w:eastAsia="zh-CN"/>
        </w:rPr>
        <w:t>Unique requirements for RedCap</w:t>
      </w:r>
    </w:p>
    <w:p>
      <w:pPr>
        <w:numPr>
          <w:ilvl w:val="0"/>
          <w:numId w:val="6"/>
        </w:numPr>
        <w:ind w:left="420" w:hanging="420"/>
        <w:rPr>
          <w:rFonts w:hint="default"/>
          <w:sz w:val="20"/>
          <w:szCs w:val="20"/>
          <w:lang w:val="en-US" w:eastAsia="zh-CN"/>
        </w:rPr>
      </w:pPr>
      <w:r>
        <w:rPr>
          <w:rFonts w:hint="eastAsia"/>
          <w:sz w:val="20"/>
          <w:szCs w:val="20"/>
          <w:lang w:val="en-US" w:eastAsia="zh-CN"/>
        </w:rPr>
        <w:t>Unique requirements for NR NTN</w:t>
      </w:r>
    </w:p>
    <w:p>
      <w:pPr>
        <w:numPr>
          <w:ilvl w:val="0"/>
          <w:numId w:val="6"/>
        </w:numPr>
        <w:ind w:left="420" w:hanging="420"/>
        <w:rPr>
          <w:rFonts w:hint="default"/>
          <w:sz w:val="20"/>
          <w:szCs w:val="20"/>
          <w:lang w:val="en-US" w:eastAsia="zh-CN"/>
        </w:rPr>
      </w:pPr>
      <w:r>
        <w:rPr>
          <w:rFonts w:hint="eastAsia"/>
          <w:sz w:val="20"/>
          <w:szCs w:val="20"/>
          <w:lang w:val="en-US" w:eastAsia="zh-CN"/>
        </w:rPr>
        <w:t>Shared requirements for RedCap and NR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The concrete requirements can be seen as following list:</w:t>
      </w:r>
    </w:p>
    <w:p>
      <w:pPr>
        <w:overflowPunct w:val="0"/>
        <w:autoSpaceDE w:val="0"/>
        <w:autoSpaceDN w:val="0"/>
        <w:adjustRightInd w:val="0"/>
        <w:spacing w:before="120" w:after="120" w:line="240" w:lineRule="auto"/>
        <w:jc w:val="center"/>
        <w:textAlignment w:val="baseline"/>
        <w:rPr>
          <w:rFonts w:hint="default" w:eastAsia="宋体"/>
          <w:sz w:val="20"/>
          <w:szCs w:val="20"/>
          <w:lang w:val="en-US" w:eastAsia="zh-CN"/>
        </w:rPr>
      </w:pPr>
      <w:r>
        <w:rPr>
          <w:rFonts w:hint="eastAsia" w:eastAsia="宋体"/>
          <w:sz w:val="20"/>
          <w:szCs w:val="20"/>
          <w:lang w:val="en-US" w:eastAsia="zh-CN"/>
        </w:rPr>
        <w:t>Table 1 Potential RRM requirements for RedCap UE in NTN scenario</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6"/>
        <w:gridCol w:w="3434"/>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Unique requirements for RedCap </w:t>
            </w:r>
          </w:p>
        </w:tc>
        <w:tc>
          <w:tcPr>
            <w:tcW w:w="6421" w:type="dxa"/>
            <w:gridSpan w:val="2"/>
          </w:tcPr>
          <w:p>
            <w:pPr>
              <w:overflowPunct w:val="0"/>
              <w:autoSpaceDE w:val="0"/>
              <w:autoSpaceDN w:val="0"/>
              <w:adjustRightInd w:val="0"/>
              <w:spacing w:before="120" w:after="120" w:line="360" w:lineRule="auto"/>
              <w:jc w:val="both"/>
              <w:textAlignment w:val="baseline"/>
              <w:rPr>
                <w:rFonts w:hint="eastAsia" w:eastAsia="宋体"/>
                <w:sz w:val="20"/>
                <w:szCs w:val="20"/>
                <w:highlight w:val="yellow"/>
                <w:vertAlign w:val="baseline"/>
                <w:lang w:val="en-US" w:eastAsia="zh-CN"/>
              </w:rPr>
            </w:pPr>
            <w:r>
              <w:rPr>
                <w:rFonts w:hint="eastAsia" w:eastAsia="宋体"/>
                <w:sz w:val="20"/>
                <w:szCs w:val="20"/>
                <w:highlight w:val="yellow"/>
                <w:vertAlign w:val="baseline"/>
                <w:lang w:val="en-US" w:eastAsia="zh-CN"/>
              </w:rPr>
              <w:t>FFS:</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Configured Grant based Small Data Transmission (CG-SDT)</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Random access based Small Data Transmission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Unique requirements for NR NTN</w:t>
            </w:r>
          </w:p>
        </w:tc>
        <w:tc>
          <w:tcPr>
            <w:tcW w:w="6421" w:type="dxa"/>
            <w:gridSpan w:val="2"/>
          </w:tcPr>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SAN Satellite switching with re-synchronization</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Pathloss reference signal switching delay</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Network verified UE location</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highlight w:val="yellow"/>
                <w:vertAlign w:val="baseline"/>
                <w:lang w:val="en-US" w:eastAsia="zh-CN"/>
              </w:rPr>
              <w:t>FFS:</w:t>
            </w:r>
            <w:r>
              <w:rPr>
                <w:rFonts w:hint="eastAsia" w:eastAsia="宋体"/>
                <w:sz w:val="20"/>
                <w:szCs w:val="20"/>
                <w:vertAlign w:val="baseline"/>
                <w:lang w:val="en-US" w:eastAsia="zh-CN"/>
              </w:rPr>
              <w:t xml:space="preserve"> </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R17/18 Conditional Handover </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RACH-less Handover</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Minimization of Derive Tests (MDT) in RRC Idle state and RRC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restart"/>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Shared requirements for RedCap and NR NTN</w:t>
            </w: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Idle/Inactive mobility</w:t>
            </w:r>
          </w:p>
        </w:tc>
        <w:tc>
          <w:tcPr>
            <w:tcW w:w="2987"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Cell re-selection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sz w:val="20"/>
                <w:szCs w:val="20"/>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lang w:val="en-US" w:eastAsia="zh-CN"/>
              </w:rPr>
            </w:pPr>
            <w:r>
              <w:rPr>
                <w:rFonts w:hint="eastAsia" w:eastAsia="宋体"/>
                <w:sz w:val="20"/>
                <w:szCs w:val="20"/>
                <w:lang w:val="en-US" w:eastAsia="zh-CN"/>
              </w:rPr>
              <w:t>RRC Connection mobility control</w:t>
            </w:r>
          </w:p>
        </w:tc>
        <w:tc>
          <w:tcPr>
            <w:tcW w:w="2987" w:type="dxa"/>
          </w:tcPr>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RACH based handover</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RRC Re-establishment</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Random Access</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connection release with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w:t>
            </w:r>
          </w:p>
        </w:tc>
        <w:tc>
          <w:tcPr>
            <w:tcW w:w="2987" w:type="dxa"/>
          </w:tcPr>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transmit timing</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timer accuracy</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 advance adjustment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Singnalling characteristics</w:t>
            </w:r>
          </w:p>
        </w:tc>
        <w:tc>
          <w:tcPr>
            <w:tcW w:w="2987" w:type="dxa"/>
          </w:tcPr>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Radio Link Monitoring</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Link Recovery Procedures</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BWP switch delay</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TCI state switching delay</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UE-specific CBW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Measurement procedure</w:t>
            </w:r>
          </w:p>
        </w:tc>
        <w:tc>
          <w:tcPr>
            <w:tcW w:w="2987" w:type="dxa"/>
          </w:tcPr>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General measurement requirement</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intra-frequency measurement</w:t>
            </w:r>
          </w:p>
          <w:p>
            <w:pPr>
              <w:numPr>
                <w:ilvl w:val="0"/>
                <w:numId w:val="6"/>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inter-frequency measurement</w:t>
            </w:r>
          </w:p>
          <w:p>
            <w:pPr>
              <w:numPr>
                <w:ilvl w:val="0"/>
                <w:numId w:val="6"/>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L1-RSRP measurement for Reporting</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Another point shall be considered also which are the enhanced features for RedCap UE and the following agreements concluded in then last meeting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3-1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principle for defining the requirements for 2Rx/1Rx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5"/>
              </w:numPr>
              <w:spacing w:after="120"/>
              <w:ind w:left="720"/>
              <w:contextualSpacing w:val="0"/>
              <w:rPr>
                <w:szCs w:val="24"/>
                <w:lang w:eastAsia="zh-CN"/>
              </w:rPr>
            </w:pPr>
            <w:r>
              <w:rPr>
                <w:szCs w:val="24"/>
                <w:lang w:eastAsia="zh-CN"/>
              </w:rPr>
              <w:t>For RRM requirements, the number of Rx considered for (e)Redcap UE with FR1-NTN bands support include both 1Rx and 2Rx.</w:t>
            </w:r>
          </w:p>
          <w:p>
            <w:pPr>
              <w:pStyle w:val="74"/>
              <w:numPr>
                <w:ilvl w:val="0"/>
                <w:numId w:val="5"/>
              </w:numPr>
              <w:spacing w:after="120"/>
              <w:ind w:left="720"/>
              <w:contextualSpacing w:val="0"/>
              <w:rPr>
                <w:szCs w:val="24"/>
                <w:lang w:eastAsia="zh-CN"/>
              </w:rPr>
            </w:pPr>
            <w:r>
              <w:rPr>
                <w:szCs w:val="24"/>
                <w:lang w:eastAsia="zh-CN"/>
              </w:rPr>
              <w:t>RAN4 should define separate sets of RRM requirements for 1Rx and 2 Rx (e)Redcap UE, if needed.</w:t>
            </w:r>
          </w:p>
          <w:p>
            <w:pPr>
              <w:pStyle w:val="74"/>
              <w:numPr>
                <w:ilvl w:val="1"/>
                <w:numId w:val="5"/>
              </w:numPr>
              <w:spacing w:after="120"/>
              <w:contextualSpacing w:val="0"/>
              <w:rPr>
                <w:rFonts w:cstheme="minorHAnsi"/>
                <w:bCs/>
                <w:lang w:eastAsia="zh-CN"/>
              </w:rPr>
            </w:pPr>
            <w:r>
              <w:rPr>
                <w:rFonts w:cstheme="minorHAnsi"/>
                <w:bCs/>
                <w:lang w:eastAsia="zh-CN"/>
              </w:rPr>
              <w:t>As baseline, follow the same principle for (e)RedCap UE</w:t>
            </w:r>
            <w:r>
              <w:rPr>
                <w:rFonts w:hint="eastAsia" w:cstheme="minorHAnsi"/>
                <w:bCs/>
                <w:lang w:eastAsia="zh-CN"/>
              </w:rPr>
              <w:t xml:space="preserve"> in TN network</w:t>
            </w:r>
            <w:r>
              <w:rPr>
                <w:rFonts w:cstheme="minorHAnsi"/>
                <w:bCs/>
                <w:lang w:eastAsia="zh-CN"/>
              </w:rPr>
              <w:t>.</w:t>
            </w:r>
          </w:p>
          <w:p>
            <w:pPr>
              <w:overflowPunct w:val="0"/>
              <w:autoSpaceDE w:val="0"/>
              <w:autoSpaceDN w:val="0"/>
              <w:adjustRightInd w:val="0"/>
              <w:spacing w:before="120" w:after="120" w:line="360" w:lineRule="auto"/>
              <w:jc w:val="both"/>
              <w:textAlignment w:val="baseline"/>
              <w:rPr>
                <w:szCs w:val="24"/>
                <w:lang w:eastAsia="zh-CN"/>
              </w:rPr>
            </w:pPr>
            <w:r>
              <w:rPr>
                <w:szCs w:val="24"/>
                <w:lang w:eastAsia="zh-CN"/>
              </w:rPr>
              <w:t xml:space="preserve">For 2Rx (e)RedCap UEs with FR1-NTN: Reuse the existing requirements for NTN as a baseline. </w:t>
            </w:r>
          </w:p>
          <w:p>
            <w:pPr>
              <w:overflowPunct w:val="0"/>
              <w:autoSpaceDE w:val="0"/>
              <w:autoSpaceDN w:val="0"/>
              <w:adjustRightInd w:val="0"/>
              <w:spacing w:before="120" w:after="120" w:line="360" w:lineRule="auto"/>
              <w:jc w:val="both"/>
              <w:textAlignment w:val="baseline"/>
              <w:rPr>
                <w:szCs w:val="24"/>
                <w:lang w:eastAsia="zh-CN"/>
              </w:rPr>
            </w:pPr>
          </w:p>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ko-KR"/>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4</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specific impact of HD-FDD for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5"/>
              </w:numPr>
              <w:spacing w:after="120"/>
              <w:ind w:left="720"/>
              <w:contextualSpacing w:val="0"/>
              <w:rPr>
                <w:szCs w:val="24"/>
                <w:lang w:eastAsia="zh-CN"/>
              </w:rPr>
            </w:pPr>
            <w:r>
              <w:rPr>
                <w:szCs w:val="24"/>
                <w:lang w:eastAsia="zh-CN"/>
              </w:rPr>
              <w:t>RAN4 to consider the impact of HD-FDD for (e)Redcap UE with FR1-NTN.</w:t>
            </w:r>
          </w:p>
          <w:p>
            <w:pPr>
              <w:pStyle w:val="74"/>
              <w:numPr>
                <w:ilvl w:val="1"/>
                <w:numId w:val="5"/>
              </w:numPr>
              <w:spacing w:after="120"/>
              <w:contextualSpacing w:val="0"/>
              <w:rPr>
                <w:rFonts w:cstheme="minorHAnsi"/>
                <w:bCs/>
                <w:lang w:eastAsia="zh-CN"/>
              </w:rPr>
            </w:pPr>
            <w:r>
              <w:rPr>
                <w:rFonts w:cstheme="minorHAnsi"/>
                <w:bCs/>
                <w:lang w:eastAsia="zh-CN"/>
              </w:rPr>
              <w:t xml:space="preserve">The TN HD-FDD related requirements and applicable conditions defined for (e)RedCap UE can be </w:t>
            </w:r>
            <w:r>
              <w:rPr>
                <w:rFonts w:hint="eastAsia" w:cstheme="minorHAnsi"/>
                <w:bCs/>
                <w:lang w:eastAsia="zh-CN"/>
              </w:rPr>
              <w:t xml:space="preserve">used </w:t>
            </w:r>
            <w:r>
              <w:rPr>
                <w:rFonts w:cstheme="minorHAnsi"/>
                <w:bCs/>
                <w:lang w:eastAsia="zh-CN"/>
              </w:rPr>
              <w:t xml:space="preserve">as </w:t>
            </w:r>
            <w:r>
              <w:rPr>
                <w:rFonts w:hint="eastAsia" w:cstheme="minorHAnsi"/>
                <w:bCs/>
                <w:lang w:eastAsia="zh-CN"/>
              </w:rPr>
              <w:t xml:space="preserve">a </w:t>
            </w:r>
            <w:r>
              <w:rPr>
                <w:rFonts w:cstheme="minorHAnsi"/>
                <w:bCs/>
                <w:lang w:eastAsia="zh-CN"/>
              </w:rPr>
              <w:t xml:space="preserve">starting point, and </w:t>
            </w:r>
            <w:r>
              <w:rPr>
                <w:rFonts w:hint="eastAsia" w:cstheme="minorHAnsi"/>
                <w:bCs/>
                <w:lang w:eastAsia="zh-CN"/>
              </w:rPr>
              <w:t xml:space="preserve">RAN4 </w:t>
            </w:r>
            <w:r>
              <w:rPr>
                <w:rFonts w:cstheme="minorHAnsi"/>
                <w:bCs/>
                <w:lang w:eastAsia="zh-CN"/>
              </w:rPr>
              <w:t>take into account NTN specific aspects if any.</w:t>
            </w:r>
          </w:p>
          <w:p>
            <w:pPr>
              <w:overflowPunct w:val="0"/>
              <w:autoSpaceDE w:val="0"/>
              <w:autoSpaceDN w:val="0"/>
              <w:adjustRightInd w:val="0"/>
              <w:spacing w:before="120" w:after="120" w:line="360" w:lineRule="auto"/>
              <w:jc w:val="both"/>
              <w:textAlignment w:val="baseline"/>
              <w:rPr>
                <w:rFonts w:hint="default"/>
                <w:szCs w:val="24"/>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above discussion, we shall study each requirements one by one with the RedCap UE feature and the details will be provided in this paper.</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2.1.2.1 Potential impact on RRM requirements for RedCap UEs (1Rx and 2Rx)</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First of all, we would like to analyze the potential RRM requirements with the reduced UE receiving branches. And the details can be seen as the following sections.</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2.1.2.1.1 Shared requirements for RedCap and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2.1.2.1.1.1 RRC Idle/Inactive mobility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RRM requirements for legacy normal UE, the potential R19 RedCap UEs in NR NTN mobility requirements in IDLE/INACTIVE may be:</w:t>
      </w:r>
    </w:p>
    <w:p>
      <w:pPr>
        <w:overflowPunct w:val="0"/>
        <w:autoSpaceDE w:val="0"/>
        <w:autoSpaceDN w:val="0"/>
        <w:adjustRightInd w:val="0"/>
        <w:spacing w:before="120" w:after="120" w:line="240" w:lineRule="auto"/>
        <w:jc w:val="center"/>
        <w:textAlignment w:val="baseline"/>
        <w:rPr>
          <w:rFonts w:hint="default" w:eastAsia="宋体"/>
          <w:sz w:val="22"/>
          <w:lang w:val="en-US" w:eastAsia="zh-CN"/>
        </w:rPr>
      </w:pPr>
      <w:r>
        <w:rPr>
          <w:rFonts w:hint="eastAsia" w:eastAsia="宋体"/>
          <w:sz w:val="21"/>
          <w:szCs w:val="18"/>
          <w:lang w:val="en-US" w:eastAsia="zh-CN"/>
        </w:rPr>
        <w:t>Table 2 Potential cell re-selection requirements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WID description </w:t>
      </w:r>
      <w:r>
        <w:rPr>
          <w:rFonts w:hint="default" w:eastAsia="宋体"/>
          <w:sz w:val="20"/>
          <w:szCs w:val="20"/>
          <w:lang w:val="en-US" w:eastAsia="zh-CN"/>
        </w:rPr>
        <w:t>“</w:t>
      </w:r>
      <w:r>
        <w:rPr>
          <w:rFonts w:hint="eastAsia" w:eastAsia="宋体"/>
          <w:sz w:val="20"/>
          <w:szCs w:val="20"/>
          <w:lang w:val="en-US" w:eastAsia="zh-CN"/>
        </w:rPr>
        <w:t>UEs with NR NTN operating in FR1-NTN bands</w:t>
      </w:r>
      <w:r>
        <w:rPr>
          <w:rFonts w:hint="default" w:eastAsia="宋体"/>
          <w:sz w:val="20"/>
          <w:szCs w:val="20"/>
          <w:lang w:val="en-US" w:eastAsia="zh-CN"/>
        </w:rPr>
        <w:t>”</w:t>
      </w:r>
      <w:r>
        <w:rPr>
          <w:rFonts w:hint="eastAsia" w:eastAsia="宋体"/>
          <w:sz w:val="20"/>
          <w:szCs w:val="20"/>
          <w:lang w:val="en-US" w:eastAsia="zh-CN"/>
        </w:rPr>
        <w:t>. We deem that the above scenarios shall be considered. Combined with discussion in RedCap WI, we shall specify the requirements on 1Rx and 2Rx. First of all, we shall focus on measurement capability on cell re-selection requirements for 1Rx and 2Rx UE in NTN.</w:t>
      </w:r>
    </w:p>
    <w:p>
      <w:pPr>
        <w:pStyle w:val="9"/>
        <w:numPr>
          <w:ilvl w:val="0"/>
          <w:numId w:val="7"/>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UE measurement capability for 1Rx and 2Rx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normal UE, the UE measurement capability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idleInactiveNR-MeasReport-r16</w:t>
            </w:r>
            <w:r>
              <w:rPr>
                <w:rFonts w:ascii="Times New Roman" w:hAnsi="Times New Roman" w:cs="Times New Roman"/>
              </w:rPr>
              <w:t xml:space="preserve">, </w:t>
            </w:r>
            <w:r>
              <w:rPr>
                <w:rFonts w:ascii="Times New Roman" w:hAnsi="Times New Roman" w:cs="Times New Roman"/>
                <w:i/>
              </w:rPr>
              <w:t>idleInactiveEUTRA-MeasReport-r16</w:t>
            </w:r>
            <w:r>
              <w:rPr>
                <w:rFonts w:ascii="Times New Roman" w:hAnsi="Times New Roman" w:cs="Times New Roman"/>
                <w:iCs/>
              </w:rPr>
              <w:t xml:space="preserve"> or </w:t>
            </w:r>
            <w:r>
              <w:rPr>
                <w:rFonts w:ascii="Times New Roman" w:hAnsi="Times New Roman" w:cs="Times New Roman"/>
                <w:i/>
                <w:iCs/>
              </w:rPr>
              <w:t>idleInactiveNR-MeasReport-r17</w:t>
            </w:r>
            <w:r>
              <w:rPr>
                <w:rFonts w:ascii="Times New Roman" w:hAnsi="Times New Roman" w:cs="Times New Roman"/>
                <w:iCs/>
              </w:rPr>
              <w:t>, for</w:t>
            </w:r>
            <w:r>
              <w:rPr>
                <w:rFonts w:ascii="Times New Roman" w:hAnsi="Times New Roman" w:cs="Times New Roman"/>
              </w:rPr>
              <w:t xml:space="preserve"> NR CA and MR-DC measurement purpose, the UE shall be capable of monitoring at least:</w:t>
            </w:r>
          </w:p>
          <w:p>
            <w:r>
              <w:t>-</w:t>
            </w:r>
            <w:r>
              <w:tab/>
            </w:r>
            <w:r>
              <w:t>Intra-frequency carrier, and</w:t>
            </w:r>
          </w:p>
          <w:p>
            <w:r>
              <w:t>-</w:t>
            </w:r>
            <w:r>
              <w:tab/>
            </w:r>
            <w:r>
              <w:t xml:space="preserve">Depending on UE capability, </w:t>
            </w:r>
            <w:r>
              <w:rPr>
                <w:highlight w:val="yellow"/>
              </w:rPr>
              <w:t>7</w:t>
            </w:r>
            <w:r>
              <w:t xml:space="preserve"> NR inter-frequency carriers, and</w:t>
            </w:r>
          </w:p>
          <w:p>
            <w:r>
              <w:t>-</w:t>
            </w:r>
            <w:r>
              <w:tab/>
            </w:r>
            <w:r>
              <w:t xml:space="preserve">Depending on UE capability, </w:t>
            </w:r>
            <w:r>
              <w:rPr>
                <w:highlight w:val="yellow"/>
              </w:rPr>
              <w:t>7</w:t>
            </w:r>
            <w:r>
              <w:t xml:space="preserve"> FDD E-UTRA inter-RAT carriers, and</w:t>
            </w:r>
          </w:p>
          <w:p>
            <w:r>
              <w:t>-</w:t>
            </w:r>
            <w:r>
              <w:tab/>
            </w:r>
            <w:r>
              <w:t xml:space="preserve">Depending on UE capability, </w:t>
            </w:r>
            <w:r>
              <w:rPr>
                <w:highlight w:val="yellow"/>
              </w:rPr>
              <w:t>7</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14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1Rx UE,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IdleInactiveMeasurements-r16</w:t>
            </w:r>
            <w:r>
              <w:rPr>
                <w:rFonts w:ascii="Times New Roman" w:hAnsi="Times New Roman" w:cs="Times New Roman"/>
              </w:rPr>
              <w:t xml:space="preserve"> or </w:t>
            </w:r>
            <w:r>
              <w:rPr>
                <w:rFonts w:ascii="Times New Roman" w:hAnsi="Times New Roman" w:cs="Times New Roman"/>
                <w:i/>
              </w:rPr>
              <w:t>idleInactiveEUTRA-MeasReport-r16</w:t>
            </w:r>
            <w:r>
              <w:rPr>
                <w:rFonts w:ascii="Times New Roman" w:hAnsi="Times New Roman" w:cs="Times New Roman"/>
                <w:iCs/>
              </w:rPr>
              <w:t xml:space="preserve">, </w:t>
            </w:r>
            <w:r>
              <w:rPr>
                <w:rFonts w:ascii="Times New Roman" w:hAnsi="Times New Roman" w:cs="Times New Roman"/>
              </w:rPr>
              <w:t>the UE shall be capable of monitoring at least:</w:t>
            </w:r>
          </w:p>
          <w:p>
            <w:r>
              <w:t>-</w:t>
            </w:r>
            <w:r>
              <w:tab/>
            </w:r>
            <w:r>
              <w:t>Intra-frequency carrier, and</w:t>
            </w:r>
          </w:p>
          <w:p>
            <w:r>
              <w:t>-</w:t>
            </w:r>
            <w:r>
              <w:tab/>
            </w:r>
            <w:r>
              <w:t xml:space="preserve">Depending on UE capability, </w:t>
            </w:r>
            <w:r>
              <w:rPr>
                <w:highlight w:val="yellow"/>
              </w:rPr>
              <w:t>6</w:t>
            </w:r>
            <w:r>
              <w:t xml:space="preserve"> NR inter-frequency carriers, and</w:t>
            </w:r>
          </w:p>
          <w:p>
            <w:r>
              <w:t>-</w:t>
            </w:r>
            <w:r>
              <w:tab/>
            </w:r>
            <w:r>
              <w:t xml:space="preserve">Depending on UE capability, </w:t>
            </w:r>
            <w:r>
              <w:rPr>
                <w:highlight w:val="yellow"/>
              </w:rPr>
              <w:t>6</w:t>
            </w:r>
            <w:r>
              <w:t xml:space="preserve"> FDD E-UTRA inter-RAT carriers, and</w:t>
            </w:r>
          </w:p>
          <w:p>
            <w:r>
              <w:t>-</w:t>
            </w:r>
            <w:r>
              <w:tab/>
            </w:r>
            <w:r>
              <w:t xml:space="preserve">Depending on UE capability, </w:t>
            </w:r>
            <w:r>
              <w:rPr>
                <w:highlight w:val="yellow"/>
              </w:rPr>
              <w:t>6</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11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legacy RedCap 2Rx UE, the UE measurement capability is the same as legacy normal UE in 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normal UE in legacy NTN,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For idle mode cell re-selection purposes, the UE shall be capable of monitoring at least:</w:t>
            </w:r>
          </w:p>
          <w:p>
            <w:pPr>
              <w:pStyle w:val="53"/>
            </w:pPr>
            <w:r>
              <w:t>-</w:t>
            </w:r>
            <w:r>
              <w:tab/>
            </w:r>
            <w:r>
              <w:t>Intra-frequency carrier, and</w:t>
            </w:r>
          </w:p>
          <w:p>
            <w:pPr>
              <w:pStyle w:val="53"/>
            </w:pPr>
            <w:r>
              <w:t>-</w:t>
            </w:r>
            <w:r>
              <w:tab/>
            </w:r>
            <w:r>
              <w:t xml:space="preserve">Depending on UE capability, </w:t>
            </w:r>
            <w:r>
              <w:rPr>
                <w:highlight w:val="yellow"/>
              </w:rPr>
              <w:t>7</w:t>
            </w:r>
            <w:r>
              <w:t xml:space="preserve"> NR inter-frequency carriers, and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NTN UE and RedCap 2Rx UE measurement capability are the same as legacy TN UE measurement capability. From my perspective, 1Rx RedCap UE measurement capability in NTN shall be the same as legacy RedCap 1Rx UE.,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2: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3: 2Rx redcap UE measurement capability in NTN shall be same as legacy normal UE in NTN.</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 xml:space="preserve">Measurements of  </w:t>
      </w:r>
      <w:r>
        <w:rPr>
          <w:rFonts w:hint="eastAsia"/>
          <w:b w:val="0"/>
          <w:bCs w:val="0"/>
          <w:i w:val="0"/>
          <w:iCs w:val="0"/>
          <w:sz w:val="20"/>
          <w:u w:val="none"/>
          <w:lang w:val="en-US" w:eastAsia="zh-CN"/>
        </w:rPr>
        <w:t>TN-NTN and NTN-TN</w:t>
      </w:r>
      <w:r>
        <w:rPr>
          <w:rFonts w:hint="eastAsia" w:eastAsia="Times New Roman"/>
          <w:b w:val="0"/>
          <w:bCs w:val="0"/>
          <w:i w:val="0"/>
          <w:iCs w:val="0"/>
          <w:sz w:val="20"/>
          <w:u w:val="none"/>
          <w:lang w:val="en-US" w:eastAsia="zh-CN"/>
        </w:rPr>
        <w:t xml:space="preserve">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R18 NR NTN WI, we define the cell re-selection requirements between TN and NTN including inter-RAT and inter-frequency measurements requirements. Thus, RAN4 shall define related requirements on TN-NTN (NR-NR) and NTN-TN(NR-NR/NR-LTE) for 1Rx and 2Rx RedCap UE. As for TN-NTN (LTE-NR), RAN2 is under discussion and there has been no RAN4 RRM impact so far.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2: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3: RAN4 has already defined the inter-RAT and inter-frequency measurement requirements between TN and NTN in legacy.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measurement requirements in inter-frequency and inter-RAT, we mainly define the Tdetect/measure/evaluate, and the legacy measurement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ascii="Times New Roman" w:hAnsi="Times New Roman" w:cs="Times New Roman"/>
                <w:b/>
                <w:lang w:val="en-GB"/>
              </w:rPr>
            </w:pPr>
            <w:r>
              <w:rPr>
                <w:rFonts w:ascii="Times New Roman" w:hAnsi="Times New Roman" w:cs="Times New Roman"/>
                <w:b/>
                <w:lang w:val="en-GB"/>
              </w:rPr>
              <w:t>TN to NTN (NR to NR):</w:t>
            </w:r>
          </w:p>
          <w:p>
            <w:pPr>
              <w:keepNext/>
              <w:keepLines/>
              <w:spacing w:before="60"/>
              <w:jc w:val="center"/>
              <w:rPr>
                <w:rFonts w:hint="default" w:ascii="Arial" w:hAnsi="Arial" w:eastAsia="宋体"/>
                <w:b/>
                <w:vertAlign w:val="baseline"/>
                <w:lang w:val="en-US" w:eastAsia="zh-CN"/>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r>
              <w:rPr>
                <w:rFonts w:hint="eastAsia" w:ascii="Arial" w:hAnsi="Arial" w:eastAsia="宋体"/>
                <w:b/>
                <w:vertAlign w:val="subscript"/>
                <w:lang w:val="en-US" w:eastAsia="zh-CN"/>
              </w:rPr>
              <w:t xml:space="preserve"> </w:t>
            </w:r>
            <w:r>
              <w:rPr>
                <w:rFonts w:hint="eastAsia" w:ascii="Arial" w:hAnsi="Arial" w:eastAsia="宋体"/>
                <w:b/>
                <w:vertAlign w:val="baseline"/>
                <w:lang w:val="en-US" w:eastAsia="zh-CN"/>
              </w:rPr>
              <w:t>for TN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557"/>
              <w:gridCol w:w="1241"/>
              <w:gridCol w:w="1191"/>
              <w:gridCol w:w="1415"/>
              <w:gridCol w:w="143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pStyle w:val="55"/>
              <w:rPr>
                <w:rFonts w:hint="eastAsia" w:eastAsia="宋体"/>
                <w:vertAlign w:val="subscript"/>
                <w:lang w:val="en-US" w:eastAsia="zh-CN"/>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712"/>
              <w:gridCol w:w="1793"/>
              <w:gridCol w:w="1795"/>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46"/>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1061" w:type="pct"/>
                  <w:tcBorders>
                    <w:top w:val="single" w:color="auto" w:sz="4" w:space="0"/>
                    <w:left w:val="single" w:color="auto" w:sz="4" w:space="0"/>
                    <w:bottom w:val="single" w:color="auto" w:sz="4" w:space="0"/>
                    <w:right w:val="single" w:color="auto" w:sz="4" w:space="0"/>
                  </w:tcBorders>
                </w:tcPr>
                <w:p>
                  <w:pPr>
                    <w:pStyle w:val="46"/>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0.32</w:t>
                  </w:r>
                </w:p>
              </w:tc>
              <w:tc>
                <w:tcPr>
                  <w:tcW w:w="1" w:type="pct"/>
                  <w:vMerge w:val="restart"/>
                  <w:tcBorders>
                    <w:top w:val="single" w:color="auto" w:sz="4" w:space="0"/>
                    <w:left w:val="single" w:color="auto" w:sz="4" w:space="0"/>
                    <w:right w:val="single" w:color="auto" w:sz="4" w:space="0"/>
                  </w:tcBorders>
                </w:tcPr>
                <w:p>
                  <w:pPr>
                    <w:pStyle w:val="47"/>
                  </w:pPr>
                  <w:r>
                    <w:t>1</w:t>
                  </w:r>
                </w:p>
              </w:tc>
              <w:tc>
                <w:tcPr>
                  <w:tcW w:w="1111" w:type="pct"/>
                  <w:tcBorders>
                    <w:top w:val="single" w:color="auto" w:sz="4" w:space="0"/>
                    <w:left w:val="single" w:color="auto" w:sz="4" w:space="0"/>
                    <w:bottom w:val="single" w:color="auto" w:sz="4" w:space="0"/>
                    <w:right w:val="single" w:color="auto" w:sz="4" w:space="0"/>
                  </w:tcBorders>
                </w:tcPr>
                <w:p>
                  <w:pPr>
                    <w:pStyle w:val="47"/>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0.64</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47"/>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1.28</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2.56</w:t>
                  </w:r>
                </w:p>
              </w:tc>
              <w:tc>
                <w:tcPr>
                  <w:tcW w:w="1061" w:type="pct"/>
                  <w:vMerge w:val="continue"/>
                  <w:tcBorders>
                    <w:left w:val="single" w:color="auto" w:sz="4" w:space="0"/>
                    <w:bottom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47"/>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0"/>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0"/>
                  </w:pPr>
                </w:p>
              </w:tc>
            </w:tr>
          </w:tbl>
          <w:p>
            <w:pPr>
              <w:rPr>
                <w:lang w:eastAsia="zh-CN"/>
              </w:rPr>
            </w:pPr>
          </w:p>
          <w:p>
            <w:pPr>
              <w:pStyle w:val="55"/>
              <w:rPr>
                <w:rFonts w:hint="eastAsia" w:eastAsia="宋体"/>
                <w:vertAlign w:val="subscript"/>
                <w:lang w:val="en-US" w:eastAsia="zh-CN"/>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871"/>
              <w:gridCol w:w="202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0"/>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spacing w:before="156" w:beforeLines="50"/>
              <w:rPr>
                <w:rFonts w:ascii="Times New Roman" w:hAnsi="Times New Roman" w:cs="Times New Roman"/>
                <w:b/>
              </w:rPr>
            </w:pPr>
            <w:r>
              <w:rPr>
                <w:rFonts w:ascii="Times New Roman" w:hAnsi="Times New Roman" w:cs="Times New Roman"/>
                <w:b/>
              </w:rPr>
              <w:t>NTN to TN (NR to NR):</w:t>
            </w:r>
          </w:p>
          <w:p>
            <w:pPr>
              <w:spacing w:before="156" w:beforeLines="50"/>
              <w:rPr>
                <w:rFonts w:hint="default" w:ascii="Times New Roman" w:hAnsi="Times New Roman" w:eastAsia="宋体" w:cs="Times New Roman"/>
                <w:b w:val="0"/>
                <w:bCs/>
                <w:lang w:val="en-US" w:eastAsia="zh-CN"/>
              </w:rPr>
            </w:pPr>
            <w:r>
              <w:rPr>
                <w:rFonts w:hint="eastAsia" w:eastAsia="宋体" w:cs="Times New Roman"/>
                <w:b w:val="0"/>
                <w:bCs/>
                <w:lang w:val="en-US" w:eastAsia="zh-CN"/>
              </w:rPr>
              <w:t>Same as TN to NTN.</w:t>
            </w:r>
          </w:p>
          <w:p>
            <w:pPr>
              <w:spacing w:before="156" w:beforeLines="50"/>
              <w:rPr>
                <w:rFonts w:ascii="Times New Roman" w:hAnsi="Times New Roman" w:cs="Times New Roman"/>
                <w:b/>
              </w:rPr>
            </w:pPr>
            <w:r>
              <w:rPr>
                <w:rFonts w:ascii="Times New Roman" w:hAnsi="Times New Roman" w:cs="Times New Roman"/>
                <w:b/>
              </w:rPr>
              <w:t>NTN to TN (NR to LTE):</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31"/>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15"/>
              <w:gridCol w:w="133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46"/>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46"/>
                    <w:rPr>
                      <w:rFonts w:cs="Arial"/>
                      <w:vertAlign w:val="subscript"/>
                      <w:lang w:eastAsia="zh-CN"/>
                    </w:rPr>
                  </w:pPr>
                  <w:r>
                    <w:t>T</w:t>
                  </w:r>
                  <w:r>
                    <w:rPr>
                      <w:vertAlign w:val="subscript"/>
                    </w:rPr>
                    <w:t>evaluate,EUTRAN</w:t>
                  </w:r>
                </w:p>
                <w:p>
                  <w:pPr>
                    <w:pStyle w:val="46"/>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7.68 (3)</w:t>
                  </w:r>
                </w:p>
              </w:tc>
            </w:tr>
          </w:tbl>
          <w:p/>
          <w:p>
            <w:pPr>
              <w:spacing w:before="156" w:beforeLines="50"/>
              <w:rPr>
                <w:rFonts w:hint="eastAsia" w:ascii="Times New Roman" w:hAnsi="Times New Roman" w:eastAsia="宋体" w:cs="Times New Roman"/>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From my perspective, the cell re-selection measurement requirements in legacy NTN can be reused for 2Rx and 1Rx RedCap UEs. However, RAN4 shall consider one point is the accuracy margin for 1Rx RedCap UE.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the following table, we find that the extral 1dB for 1Rx RedCap UE is needed in inter-frequency measurements compared to legacy conditions. The main issues for this change is the  transmission rate and accuracy shift. Compared to 2Rx, 1Rx has lower transmission rate and the accuracy shift  is serious vary time, and RAN4 deems that the margin or threshold for 1Rx shall be higher than 2Rx and this can limit that two problems.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inter-RAT measurement, we find that the accuracy margin for 1Rx and 2Rx is the same as each other. In the existing specification we find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overflowPunct w:val="0"/>
              <w:autoSpaceDE w:val="0"/>
              <w:autoSpaceDN w:val="0"/>
              <w:adjustRightInd w:val="0"/>
              <w:spacing w:before="120" w:after="120" w:line="360" w:lineRule="auto"/>
              <w:ind w:left="0" w:firstLine="0"/>
              <w:jc w:val="both"/>
              <w:textAlignment w:val="baseline"/>
              <w:rPr>
                <w:rFonts w:cs="v4.2.0"/>
              </w:rPr>
            </w:pPr>
            <w:r>
              <w:rPr>
                <w:rFonts w:cs="v4.2.0"/>
                <w:lang w:eastAsia="sv-SE"/>
              </w:rPr>
              <w:t xml:space="preserve">The </w:t>
            </w:r>
            <w:r>
              <w:rPr>
                <w:rFonts w:cs="v4.2.0"/>
                <w:highlight w:val="yellow"/>
                <w:lang w:eastAsia="sv-SE"/>
              </w:rPr>
              <w:t>1 Rx RedCap</w:t>
            </w:r>
            <w:r>
              <w:rPr>
                <w:rFonts w:cs="v4.2.0"/>
                <w:lang w:eastAsia="sv-SE"/>
              </w:rPr>
              <w:t xml:space="preserve"> UE applies </w:t>
            </w:r>
            <w:r>
              <w:rPr>
                <w:rFonts w:cs="v4.2.0"/>
                <w:i w:val="0"/>
              </w:rPr>
              <w:t>absThreshSS-BlocksConsolidation</w:t>
            </w:r>
            <w:r>
              <w:rPr>
                <w:rFonts w:cs="v4.2.0"/>
                <w:lang w:eastAsia="sv-SE"/>
              </w:rPr>
              <w:t xml:space="preserve"> as the signaled value of </w:t>
            </w:r>
            <w:r>
              <w:rPr>
                <w:rFonts w:cs="v4.2.0"/>
                <w:i w:val="0"/>
              </w:rPr>
              <w:t>absThreshSS-BlocksConsolidation</w:t>
            </w:r>
            <w:r>
              <w:rPr>
                <w:rFonts w:cs="v4.2.0"/>
                <w:lang w:eastAsia="sv-SE"/>
              </w:rPr>
              <w:t xml:space="preserve"> [2] + </w:t>
            </w:r>
            <w:r>
              <w:rPr>
                <w:rFonts w:cs="v4.2.0"/>
                <w:highlight w:val="yellow"/>
                <w:lang w:eastAsia="sv-SE"/>
              </w:rPr>
              <w:t>1 dB</w:t>
            </w:r>
            <w:r>
              <w:rPr>
                <w:rFonts w:cs="v4.2.0"/>
                <w:lang w:eastAsia="sv-SE"/>
              </w:rPr>
              <w:t>.</w:t>
            </w:r>
          </w:p>
          <w:p>
            <w:pPr>
              <w:numPr>
                <w:ilvl w:val="0"/>
                <w:numId w:val="8"/>
              </w:numPr>
              <w:ind w:left="568" w:hanging="284"/>
              <w:rPr>
                <w:rFonts w:cs="v4.2.0"/>
              </w:rPr>
            </w:pPr>
            <w:r>
              <w:rPr>
                <w:rFonts w:hint="eastAsia" w:eastAsia="宋体" w:cs="v4.2.0"/>
                <w:lang w:val="en-US" w:eastAsia="zh-CN"/>
              </w:rPr>
              <w:t xml:space="preserve">For </w:t>
            </w:r>
            <w:r>
              <w:rPr>
                <w:rFonts w:hint="eastAsia" w:eastAsia="宋体" w:cs="v4.2.0"/>
                <w:b/>
                <w:bCs/>
                <w:lang w:val="en-US" w:eastAsia="zh-CN"/>
              </w:rPr>
              <w:t>inter-frequency</w:t>
            </w:r>
            <w:r>
              <w:rPr>
                <w:rFonts w:hint="eastAsia" w:eastAsia="宋体" w:cs="v4.2.0"/>
                <w:lang w:val="en-US" w:eastAsia="zh-CN"/>
              </w:rPr>
              <w:t xml:space="preserve"> in legacy RedCap TN</w:t>
            </w:r>
          </w:p>
          <w:p>
            <w:pPr>
              <w:numPr>
                <w:ilvl w:val="-1"/>
                <w:numId w:val="0"/>
              </w:numPr>
              <w:ind w:left="0" w:firstLine="0"/>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subscript"/>
              </w:rPr>
              <w:t>carrier_RedCap</w:t>
            </w:r>
            <w:r>
              <w:rPr>
                <w:rFonts w:cs="v4.2.0"/>
              </w:rPr>
              <w:t xml:space="preserve"> * T</w:t>
            </w:r>
            <w:r>
              <w:rPr>
                <w:rFonts w:cs="v4.2.0"/>
                <w:vertAlign w:val="subscript"/>
              </w:rPr>
              <w:t>detect,NR_Inter_RedCap</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w:t>
            </w:r>
          </w:p>
          <w:p>
            <w:pPr>
              <w:pStyle w:val="53"/>
            </w:pPr>
            <w:r>
              <w:tab/>
            </w:r>
            <w:r>
              <w:t xml:space="preserve">For </w:t>
            </w:r>
            <w:r>
              <w:rPr>
                <w:b/>
                <w:bCs/>
              </w:rPr>
              <w:t>2 Rx</w:t>
            </w:r>
            <w:r>
              <w:t xml:space="preserve"> RedCap by a margin of at least </w:t>
            </w:r>
            <w:r>
              <w:rPr>
                <w:rFonts w:hint="eastAsia" w:eastAsia="宋体"/>
                <w:color w:val="0000FF"/>
                <w:lang w:val="en-US" w:eastAsia="zh-CN"/>
              </w:rPr>
              <w:t>[same as legacy TN/NTN]</w:t>
            </w:r>
          </w:p>
          <w:p>
            <w:pPr>
              <w:pStyle w:val="64"/>
            </w:pPr>
            <w:r>
              <w:tab/>
            </w:r>
            <w:r>
              <w:rPr>
                <w:highlight w:val="yellow"/>
              </w:rPr>
              <w:t>5 dB</w:t>
            </w:r>
            <w:r>
              <w:t xml:space="preserve"> in FR1 or 6.5 dB in FR2 for reselections based on ranking or </w:t>
            </w:r>
          </w:p>
          <w:p>
            <w:pPr>
              <w:pStyle w:val="64"/>
            </w:pPr>
            <w:r>
              <w:tab/>
            </w:r>
            <w:r>
              <w:rPr>
                <w:highlight w:val="yellow"/>
              </w:rPr>
              <w:t>6 dB</w:t>
            </w:r>
            <w:r>
              <w:t xml:space="preserve"> in FR1 or 7.5 dB in FR2 for SS-RSRP reselections based on absolute priorities or </w:t>
            </w:r>
          </w:p>
          <w:p>
            <w:pPr>
              <w:pStyle w:val="64"/>
            </w:pPr>
            <w:r>
              <w:tab/>
            </w:r>
            <w:r>
              <w:rPr>
                <w:highlight w:val="yellow"/>
              </w:rPr>
              <w:t>4 dB</w:t>
            </w:r>
            <w:r>
              <w:t xml:space="preserve"> in FR1 and 4 dB in FR2 for SS-RSRQ reselections based on absolute priorities </w:t>
            </w:r>
          </w:p>
          <w:p>
            <w:pPr>
              <w:pStyle w:val="53"/>
            </w:pPr>
            <w:r>
              <w:tab/>
            </w:r>
            <w:r>
              <w:t xml:space="preserve">For </w:t>
            </w:r>
            <w:r>
              <w:rPr>
                <w:b/>
                <w:bCs/>
              </w:rPr>
              <w:t>1 Rx</w:t>
            </w:r>
            <w:r>
              <w:t xml:space="preserve"> RedCap by a margin of at least </w:t>
            </w:r>
            <w:r>
              <w:rPr>
                <w:rFonts w:hint="eastAsia" w:eastAsia="宋体"/>
                <w:color w:val="0000FF"/>
                <w:lang w:val="en-US" w:eastAsia="zh-CN"/>
              </w:rPr>
              <w:t>[extra 1dB compared to 2Rx]</w:t>
            </w:r>
          </w:p>
          <w:p>
            <w:pPr>
              <w:pStyle w:val="64"/>
            </w:pPr>
            <w:r>
              <w:tab/>
            </w:r>
            <w:r>
              <w:rPr>
                <w:highlight w:val="yellow"/>
              </w:rPr>
              <w:t>6 dB</w:t>
            </w:r>
            <w:r>
              <w:t xml:space="preserve"> in FR1 for reselections based on ranking or </w:t>
            </w:r>
          </w:p>
          <w:p>
            <w:pPr>
              <w:pStyle w:val="64"/>
            </w:pPr>
            <w:r>
              <w:tab/>
            </w:r>
            <w:r>
              <w:rPr>
                <w:highlight w:val="yellow"/>
              </w:rPr>
              <w:t>7 dB</w:t>
            </w:r>
            <w:r>
              <w:t xml:space="preserve"> in FR1 for SS-RSRP reselections based on absolute priorities or </w:t>
            </w:r>
          </w:p>
          <w:p>
            <w:pPr>
              <w:pStyle w:val="64"/>
            </w:pPr>
            <w:r>
              <w:tab/>
            </w:r>
            <w:r>
              <w:rPr>
                <w:highlight w:val="yellow"/>
              </w:rPr>
              <w:t>5 dB</w:t>
            </w:r>
            <w:r>
              <w:t xml:space="preserve"> in FR1 for SS-RSRQ reselections based on absolute priorities.</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baseline"/>
              </w:rPr>
              <w:t>carrier</w:t>
            </w:r>
            <w:r>
              <w:rPr>
                <w:rFonts w:cs="v4.2.0"/>
              </w:rPr>
              <w:t xml:space="preserve"> * T</w:t>
            </w:r>
            <w:r>
              <w:rPr>
                <w:rFonts w:cs="v4.2.0"/>
                <w:vertAlign w:val="baseline"/>
              </w:rPr>
              <w:t>evaluate,NR_Inter_RedCap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provided that the reselection criteria is met by</w:t>
            </w:r>
          </w:p>
          <w:p>
            <w:pPr>
              <w:pStyle w:val="53"/>
            </w:pPr>
            <w:r>
              <w:t>-</w:t>
            </w:r>
            <w:r>
              <w:tab/>
            </w:r>
            <w:r>
              <w:t>the condition when performing equal priority reselection and</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pStyle w:val="65"/>
            </w:pPr>
            <w:r>
              <w:t>-</w:t>
            </w:r>
            <w:r>
              <w:tab/>
            </w:r>
            <w:r>
              <w:t xml:space="preserve">the cell is at least </w:t>
            </w:r>
            <w:r>
              <w:rPr>
                <w:highlight w:val="yellow"/>
                <w:lang w:eastAsia="zh-CN"/>
              </w:rPr>
              <w:t>5</w:t>
            </w:r>
            <w:r>
              <w:rPr>
                <w:highlight w:val="yellow"/>
              </w:rPr>
              <w:t>dB better ranked in FR1</w:t>
            </w:r>
            <w:r>
              <w:t xml:space="preserve"> or 6.5dB better ranked in FR2 for </w:t>
            </w:r>
            <w:r>
              <w:rPr>
                <w:highlight w:val="yellow"/>
              </w:rPr>
              <w:t>2 Rx RedCap</w:t>
            </w:r>
            <w:r>
              <w:t>.</w:t>
            </w:r>
          </w:p>
          <w:p>
            <w:pPr>
              <w:pStyle w:val="65"/>
            </w:pPr>
            <w:r>
              <w:t>-</w:t>
            </w:r>
            <w:r>
              <w:tab/>
            </w:r>
            <w:r>
              <w:t>the cell is at least</w:t>
            </w:r>
            <w:r>
              <w:rPr>
                <w:highlight w:val="yellow"/>
              </w:rPr>
              <w:t xml:space="preserve"> </w:t>
            </w:r>
            <w:r>
              <w:rPr>
                <w:highlight w:val="yellow"/>
                <w:lang w:eastAsia="zh-CN"/>
              </w:rPr>
              <w:t>6</w:t>
            </w:r>
            <w:r>
              <w:rPr>
                <w:highlight w:val="yellow"/>
              </w:rPr>
              <w:t>dB better ranked in FR1</w:t>
            </w:r>
            <w:r>
              <w:t xml:space="preserve"> for </w:t>
            </w:r>
            <w:r>
              <w:rPr>
                <w:highlight w:val="yellow"/>
              </w:rPr>
              <w:t>1 Rx RedCap</w:t>
            </w:r>
            <w:r>
              <w:t>.</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configured:</w:t>
            </w:r>
          </w:p>
          <w:p>
            <w:pPr>
              <w:pStyle w:val="65"/>
            </w:pPr>
            <w:r>
              <w:t>-</w:t>
            </w:r>
            <w:r>
              <w:tab/>
            </w:r>
            <w:r>
              <w:t xml:space="preserve">the cell has the highest number of beams above the threshold </w:t>
            </w:r>
            <w:r>
              <w:rPr>
                <w:i/>
              </w:rPr>
              <w:t>absThreshSS-BlocksConsolidation</w:t>
            </w:r>
            <w:r>
              <w:t xml:space="preserve"> among all detected cells whose cell-ranking criterion R value defined in TS3</w:t>
            </w:r>
            <w:r>
              <w:rPr>
                <w:lang w:eastAsia="zh-CN"/>
              </w:rPr>
              <w:t>8</w:t>
            </w:r>
            <w:r>
              <w:t xml:space="preserve">.304 [1] is within </w:t>
            </w:r>
            <w:r>
              <w:rPr>
                <w:i/>
              </w:rPr>
              <w:t>rangeToBestCell</w:t>
            </w:r>
            <w:r>
              <w:t xml:space="preserve"> of the cell-ranking criterion R value of the highest ranked cell. </w:t>
            </w:r>
          </w:p>
          <w:p>
            <w:pPr>
              <w:pStyle w:val="66"/>
            </w:pPr>
            <w:r>
              <w:t>-</w:t>
            </w:r>
            <w:r>
              <w:tab/>
            </w:r>
            <w:r>
              <w:t xml:space="preserve">if there are multiple such cells, the cell has the highest rank among them </w:t>
            </w:r>
          </w:p>
          <w:p>
            <w:pPr>
              <w:pStyle w:val="66"/>
            </w:pPr>
            <w:r>
              <w:t>-</w:t>
            </w:r>
            <w:r>
              <w:tab/>
            </w:r>
            <w:r>
              <w:t xml:space="preserve">the cell is at least </w:t>
            </w:r>
            <w:r>
              <w:rPr>
                <w:highlight w:val="yellow"/>
              </w:rPr>
              <w:t>5dB better ranked in FR1</w:t>
            </w:r>
            <w:r>
              <w:t xml:space="preserve"> or 6.5dB better ranked in FR2 if the current serving cell is among them, or </w:t>
            </w:r>
            <w:r>
              <w:rPr>
                <w:highlight w:val="yellow"/>
                <w:lang w:eastAsia="zh-CN"/>
              </w:rPr>
              <w:t>6dB in FR1</w:t>
            </w:r>
            <w:r>
              <w:rPr>
                <w:lang w:eastAsia="zh-CN"/>
              </w:rPr>
              <w:t xml:space="preserve"> or 7.5dB in FR2 for SS-RSRP reselections based on absolute priorities for </w:t>
            </w:r>
            <w:r>
              <w:rPr>
                <w:highlight w:val="yellow"/>
                <w:lang w:eastAsia="zh-CN"/>
              </w:rPr>
              <w:t>2 Rx RedCap</w:t>
            </w:r>
            <w:r>
              <w:rPr>
                <w:lang w:eastAsia="zh-CN"/>
              </w:rPr>
              <w:t xml:space="preserve"> or </w:t>
            </w:r>
            <w:r>
              <w:rPr>
                <w:highlight w:val="yellow"/>
                <w:lang w:eastAsia="zh-CN"/>
              </w:rPr>
              <w:t>4dB in FR1</w:t>
            </w:r>
            <w:r>
              <w:rPr>
                <w:lang w:eastAsia="zh-CN"/>
              </w:rPr>
              <w:t xml:space="preserve"> or 4dB in FR2 for SS-RSRQ reselections based on absolute priorities for </w:t>
            </w:r>
            <w:r>
              <w:rPr>
                <w:highlight w:val="yellow"/>
                <w:lang w:eastAsia="zh-CN"/>
              </w:rPr>
              <w:t xml:space="preserve">2 Rx </w:t>
            </w:r>
            <w:r>
              <w:rPr>
                <w:highlight w:val="yellow"/>
              </w:rPr>
              <w:t>RedCap</w:t>
            </w:r>
            <w:r>
              <w:t>.</w:t>
            </w:r>
          </w:p>
          <w:p>
            <w:pPr>
              <w:pStyle w:val="66"/>
            </w:pPr>
            <w:r>
              <w:t>-</w:t>
            </w:r>
            <w:r>
              <w:tab/>
            </w:r>
            <w:r>
              <w:t xml:space="preserve">the cell is at least </w:t>
            </w:r>
            <w:r>
              <w:rPr>
                <w:highlight w:val="yellow"/>
              </w:rPr>
              <w:t>6dB better ranked in FR1</w:t>
            </w:r>
            <w:r>
              <w:t xml:space="preserve"> if the current serving cell is among them, or </w:t>
            </w:r>
            <w:r>
              <w:rPr>
                <w:highlight w:val="yellow"/>
              </w:rPr>
              <w:t xml:space="preserve">7dB in FR1 </w:t>
            </w:r>
            <w:r>
              <w:t xml:space="preserve">for SS-RSRP reselections based on absolute priorities or </w:t>
            </w:r>
            <w:r>
              <w:rPr>
                <w:highlight w:val="yellow"/>
              </w:rPr>
              <w:t>5dB in FR1</w:t>
            </w:r>
            <w:r>
              <w:t xml:space="preserve"> for SS-RSRQ reselections based on </w:t>
            </w:r>
            <w:r>
              <w:rPr>
                <w:lang w:eastAsia="zh-CN"/>
              </w:rPr>
              <w:t xml:space="preserve">absolute priorities for </w:t>
            </w:r>
            <w:r>
              <w:rPr>
                <w:highlight w:val="yellow"/>
                <w:lang w:eastAsia="zh-CN"/>
              </w:rPr>
              <w:t>1 Rx RedCap</w:t>
            </w:r>
            <w:r>
              <w:rPr>
                <w:lang w:eastAsia="zh-CN"/>
              </w:rPr>
              <w:t>.</w:t>
            </w:r>
          </w:p>
          <w:p>
            <w:pPr>
              <w:pStyle w:val="64"/>
            </w:pPr>
          </w:p>
          <w:p>
            <w:pPr>
              <w:numPr>
                <w:ilvl w:val="0"/>
                <w:numId w:val="8"/>
              </w:numPr>
              <w:overflowPunct w:val="0"/>
              <w:autoSpaceDE w:val="0"/>
              <w:autoSpaceDN w:val="0"/>
              <w:adjustRightInd w:val="0"/>
              <w:spacing w:before="120" w:after="120" w:line="360" w:lineRule="auto"/>
              <w:ind w:left="568" w:hanging="284"/>
              <w:jc w:val="both"/>
              <w:textAlignment w:val="baseline"/>
              <w:rPr>
                <w:rFonts w:hint="default" w:eastAsia="宋体"/>
                <w:sz w:val="22"/>
                <w:vertAlign w:val="baseline"/>
                <w:lang w:val="en-US" w:eastAsia="zh-CN"/>
              </w:rPr>
            </w:pPr>
            <w:r>
              <w:rPr>
                <w:rFonts w:hint="eastAsia" w:eastAsia="宋体"/>
                <w:sz w:val="22"/>
                <w:vertAlign w:val="baseline"/>
                <w:lang w:val="en-US" w:eastAsia="zh-CN"/>
              </w:rPr>
              <w:t xml:space="preserve">For </w:t>
            </w:r>
            <w:r>
              <w:rPr>
                <w:rFonts w:hint="eastAsia" w:eastAsia="宋体"/>
                <w:b/>
                <w:bCs/>
                <w:sz w:val="22"/>
                <w:vertAlign w:val="baseline"/>
                <w:lang w:val="en-US" w:eastAsia="zh-CN"/>
              </w:rPr>
              <w:t>inter-RAT</w:t>
            </w:r>
            <w:r>
              <w:rPr>
                <w:rFonts w:hint="eastAsia" w:eastAsia="宋体"/>
                <w:sz w:val="22"/>
                <w:vertAlign w:val="baseline"/>
                <w:lang w:val="en-US" w:eastAsia="zh-CN"/>
              </w:rPr>
              <w:t xml:space="preserve"> in legacy RedCap TN</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The UE shall be able to evaluate whether a newly detectable</w:t>
            </w:r>
            <w:r>
              <w:rPr>
                <w:rFonts w:cs="v4.2.0"/>
                <w:lang w:val="en-US" w:eastAsia="zh-CN"/>
              </w:rPr>
              <w:t xml:space="preserve"> inter-RAT E-UTRAN</w:t>
            </w:r>
            <w:r>
              <w:rPr>
                <w:rFonts w:cs="v4.2.0"/>
              </w:rPr>
              <w:t xml:space="preserve"> cell meets the reselection criteria defined in TS3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detect,</w:t>
            </w:r>
            <w:r>
              <w:rPr>
                <w:rFonts w:cs="v4.2.0"/>
                <w:vertAlign w:val="baseline"/>
                <w:lang w:eastAsia="zh-CN"/>
              </w:rPr>
              <w:t>E</w:t>
            </w:r>
            <w:r>
              <w:rPr>
                <w:rFonts w:cs="v4.2.0"/>
                <w:vertAlign w:val="baseline"/>
              </w:rPr>
              <w:t>UTRAN_RedCap</w:t>
            </w:r>
            <w:r>
              <w:rPr>
                <w:rFonts w:cs="v4.2.0"/>
              </w:rPr>
              <w:t xml:space="preserve"> when S</w:t>
            </w:r>
            <w:r>
              <w:rPr>
                <w:rFonts w:cs="v4.2.0"/>
                <w:vertAlign w:val="baseline"/>
              </w:rPr>
              <w:t>rxlev</w:t>
            </w:r>
            <w:r>
              <w:rPr>
                <w:rFonts w:cs="v4.2.0"/>
              </w:rPr>
              <w:t xml:space="preserve"> </w:t>
            </w:r>
            <w:r>
              <w:rPr>
                <w:rFonts w:hint="default" w:cs="v4.2.0"/>
              </w:rPr>
              <w:t>≤</w:t>
            </w:r>
            <w:r>
              <w:rPr>
                <w:rFonts w:cs="v4.2.0"/>
              </w:rPr>
              <w:t xml:space="preserve"> S</w:t>
            </w:r>
            <w:r>
              <w:rPr>
                <w:rFonts w:cs="v4.2.0"/>
                <w:vertAlign w:val="baseline"/>
              </w:rPr>
              <w:t>nonIntraSearchP</w:t>
            </w:r>
            <w:r>
              <w:rPr>
                <w:rFonts w:cs="v4.2.0"/>
              </w:rPr>
              <w:t xml:space="preserve"> or S</w:t>
            </w:r>
            <w:r>
              <w:rPr>
                <w:rFonts w:cs="v4.2.0"/>
                <w:vertAlign w:val="baseline"/>
              </w:rPr>
              <w:t>qual</w:t>
            </w:r>
            <w:r>
              <w:rPr>
                <w:rFonts w:cs="v4.2.0"/>
              </w:rPr>
              <w:t xml:space="preserve"> </w:t>
            </w:r>
            <w:r>
              <w:rPr>
                <w:rFonts w:hint="default" w:cs="v4.2.0"/>
              </w:rPr>
              <w:t>≤</w:t>
            </w:r>
            <w:r>
              <w:rPr>
                <w:rFonts w:cs="v4.2.0"/>
              </w:rPr>
              <w:t xml:space="preserve"> S</w:t>
            </w:r>
            <w:r>
              <w:rPr>
                <w:rFonts w:cs="v4.2.0"/>
                <w:vertAlign w:val="baseline"/>
              </w:rPr>
              <w:t>nonIntraSearchQ</w:t>
            </w:r>
            <w:r>
              <w:rPr>
                <w:rFonts w:cs="v4.2.0"/>
              </w:rPr>
              <w:t xml:space="preserve"> when T</w:t>
            </w:r>
            <w:r>
              <w:rPr>
                <w:rFonts w:cs="v4.2.0"/>
                <w:vertAlign w:val="baseline"/>
              </w:rPr>
              <w:t>reselection</w:t>
            </w:r>
            <w:r>
              <w:rPr>
                <w:rFonts w:cs="v4.2.0"/>
              </w:rPr>
              <w:t xml:space="preserve"> = 0 provided that the reselection criteria are met by a margin of</w:t>
            </w:r>
            <w:r>
              <w:rPr>
                <w:rFonts w:cs="v4.2.0"/>
                <w:lang w:eastAsia="zh-CN"/>
              </w:rPr>
              <w:t xml:space="preserve"> </w:t>
            </w:r>
            <w:r>
              <w:rPr>
                <w:rFonts w:cs="v4.2.0"/>
              </w:rPr>
              <w:t xml:space="preserve">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lang w:eastAsia="zh-CN"/>
              </w:rPr>
              <w:t>.</w:t>
            </w: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cs="v4.2.0"/>
              </w:rPr>
            </w:pP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hint="default" w:eastAsia="宋体"/>
                <w:sz w:val="22"/>
                <w:vertAlign w:val="baseline"/>
                <w:lang w:val="en-US" w:eastAsia="zh-CN"/>
              </w:rPr>
            </w:pPr>
            <w:r>
              <w:rPr>
                <w:rFonts w:cs="v4.2.0"/>
              </w:rPr>
              <w:t xml:space="preserve">For a cell that has been already detected, but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evaluate,</w:t>
            </w:r>
            <w:r>
              <w:rPr>
                <w:rFonts w:cs="v4.2.0"/>
                <w:vertAlign w:val="baseline"/>
                <w:lang w:eastAsia="zh-CN"/>
              </w:rPr>
              <w:t>E</w:t>
            </w:r>
            <w:r>
              <w:rPr>
                <w:rFonts w:cs="v4.2.0"/>
                <w:vertAlign w:val="baseline"/>
              </w:rPr>
              <w:t>UTRAN_RedCap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 xml:space="preserve">provided that the reselection criteria are met by a margin of 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eastAsia" w:eastAsia="宋体" w:cs="v4.2.0"/>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Although the measurement requirements are same, the accuracy margin in inter-frequency shall add 1dB extra margin. For inter-RAT measurement, the accuracy margin shall be maintained.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4: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4: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5: For inter-frequency measurement, RAN4 shall reuse the extra 1dB offset for 1Rx RedCap UE in NR NTN if the legacy requirements are reused.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6: For inter-RAT measurement, the orginal accuracy margin shall be maintained for 1Rx RedCap UE in NR NTN if the legacy requirements are reused.</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Measurements of NTN-NTN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R17, we mainly introduced the time-based and location-based condition for NTN to NTN cell re-selection. In R18, we just reuse the legacy NTN requirements and only introduced movingReferenceLocation and location-based margin from 50m to 80m based on RAN2 agreements because of earth-moving scenario. Thus, the legacy requirements shall be reused for 1Rx and 2Rx RedCap UEs.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the accuracy margin shall also be studied for 1Rx and 2Rx RedCap UE when we considering to reuse the legacy NTN requirements. From my perspective,  the concrete conditions for 1Rx UE in inter-frequency measurement shall need 1dB extra margin based on legacy conditions in NTN and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7: The cell re-selection intra-frequency and inter-frequency measurement requirements in legacy NTN can be reused for 2Rx and 1Rx RedCap UEs when considering NTN to NTN cell re-selection.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8: RAN4 shall define the concrete accuracy margin for 1Rx and 2Rx UE in NTN-NTN scenario. For 1Rx RedCap UE, additional 1dB is needed based on legacy conditions in NTN. For 2Rx RedCap UE, the legacy  conditions in NTN shall be reused.</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2.1.2.1.1.2 RRC Connected mobility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R19 NR NTN mobility requirements in CONNECTED state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4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restart"/>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NTN-NTN</w:t>
            </w: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RHCH-based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connection release with redirection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As for mobility requirements in RRC CONNECTED state, we list the potential RRM requirements and we shall study them one by one. </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RACH-based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RACH-based handover, RAN4 has already defined the FR1-FR1 handover delay for RedCap UE in TN and also NTN respectively. We can see the following table to see the difference: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RedCap RACH-based interruption time</w:t>
            </w:r>
            <w:r>
              <w:rPr>
                <w:rFonts w:hint="eastAsia" w:eastAsia="宋体"/>
                <w:sz w:val="22"/>
                <w:vertAlign w:val="baseline"/>
                <w:lang w:val="en-US" w:eastAsia="zh-CN"/>
              </w:rPr>
              <w:t>:</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pStyle w:val="53"/>
            </w:pPr>
            <w:r>
              <w:t>T</w:t>
            </w:r>
            <w:r>
              <w:rPr>
                <w:vertAlign w:val="subscript"/>
              </w:rPr>
              <w:t>search</w:t>
            </w:r>
            <w:r>
              <w:t xml:space="preserve"> is the time required to search the target cell which depends on whether the target cell is already known when the handover command is received by the UE. </w:t>
            </w:r>
          </w:p>
          <w:p>
            <w:pPr>
              <w:pStyle w:val="53"/>
              <w:ind w:firstLine="0"/>
            </w:pPr>
            <w:r>
              <w:t>-</w:t>
            </w:r>
            <w:r>
              <w:tab/>
            </w:r>
            <w:r>
              <w:t xml:space="preserve">If the target cell is a known </w:t>
            </w:r>
            <w:r>
              <w:rPr>
                <w:b/>
                <w:bCs/>
              </w:rPr>
              <w:t>intra-frequency cell</w:t>
            </w:r>
            <w:r>
              <w:t xml:space="preserve">, </w:t>
            </w:r>
            <w:r>
              <w:rPr>
                <w:highlight w:val="yellow"/>
              </w:rPr>
              <w:t>T</w:t>
            </w:r>
            <w:r>
              <w:rPr>
                <w:highlight w:val="yellow"/>
                <w:vertAlign w:val="subscript"/>
              </w:rPr>
              <w:t>search</w:t>
            </w:r>
            <w:r>
              <w:rPr>
                <w:highlight w:val="yellow"/>
              </w:rPr>
              <w:t xml:space="preserve"> = 0ms</w:t>
            </w:r>
            <w:r>
              <w:t>. If the target cell is an unknown intra-frequency cell and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1*T</w:t>
            </w:r>
            <w:r>
              <w:rPr>
                <w:highlight w:val="yellow"/>
                <w:vertAlign w:val="subscript"/>
              </w:rPr>
              <w:t>rs</w:t>
            </w:r>
            <w:r>
              <w:rPr>
                <w:highlight w:val="yellow"/>
              </w:rPr>
              <w:t xml:space="preserve"> ms</w:t>
            </w:r>
            <w:r>
              <w:t xml:space="preserve"> if UE </w:t>
            </w:r>
            <w:r>
              <w:rPr>
                <w:rFonts w:cs="v4.2.0"/>
              </w:rPr>
              <w:t>is capable of</w:t>
            </w:r>
            <w:r>
              <w:t xml:space="preserve"> </w:t>
            </w:r>
            <w:r>
              <w:rPr>
                <w:highlight w:val="yellow"/>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t xml:space="preserve"> ms if </w:t>
            </w:r>
            <w:r>
              <w:rPr>
                <w:rFonts w:cs="v4.2.0"/>
              </w:rPr>
              <w:t xml:space="preserve">UE is </w:t>
            </w:r>
            <w:r>
              <w:rPr>
                <w:lang w:eastAsia="zh-CN"/>
              </w:rPr>
              <w:t xml:space="preserve">only required to support </w:t>
            </w:r>
            <w:r>
              <w:rPr>
                <w:highlight w:val="cyan"/>
                <w:lang w:eastAsia="zh-CN"/>
              </w:rPr>
              <w:t>1 Rx antenna</w:t>
            </w:r>
            <w:r>
              <w:rPr>
                <w:lang w:eastAsia="zh-CN"/>
              </w:rPr>
              <w:t>.</w:t>
            </w:r>
          </w:p>
          <w:p>
            <w:pPr>
              <w:pStyle w:val="53"/>
              <w:ind w:left="852"/>
            </w:pPr>
            <w:r>
              <w:t>-</w:t>
            </w:r>
            <w:r>
              <w:tab/>
            </w:r>
            <w:r>
              <w:t xml:space="preserve">If the target cell is a known inter-frequency cell, then </w:t>
            </w:r>
          </w:p>
          <w:p>
            <w:pPr>
              <w:pStyle w:val="53"/>
              <w:ind w:left="1420"/>
            </w:pPr>
            <w:r>
              <w:t>if the measured SSB is the target SSB for HO of the target cell, T</w:t>
            </w:r>
            <w:r>
              <w:rPr>
                <w:vertAlign w:val="subscript"/>
              </w:rPr>
              <w:t>search</w:t>
            </w:r>
            <w:r>
              <w:t xml:space="preserve"> = 0ms; </w:t>
            </w:r>
          </w:p>
          <w:p>
            <w:pPr>
              <w:pStyle w:val="53"/>
              <w:ind w:left="1420"/>
            </w:pPr>
            <w:r>
              <w:t xml:space="preserve">if the measured SSB and the target SSB for HO </w:t>
            </w:r>
            <w:r>
              <w:rPr>
                <w:lang w:eastAsia="ko-KR"/>
              </w:rPr>
              <w:t>belong to the same NR target cell and</w:t>
            </w:r>
            <w:r>
              <w:t xml:space="preserve"> fulfil the following conditions, T</w:t>
            </w:r>
            <w:r>
              <w:rPr>
                <w:vertAlign w:val="subscript"/>
              </w:rPr>
              <w:t>search</w:t>
            </w:r>
            <w:r>
              <w:rPr>
                <w:lang w:eastAsia="zh-CN"/>
              </w:rPr>
              <w:t xml:space="preserve"> = </w:t>
            </w:r>
            <w:r>
              <w:t>T</w:t>
            </w:r>
            <w:r>
              <w:rPr>
                <w:vertAlign w:val="subscript"/>
              </w:rPr>
              <w:t>rs</w:t>
            </w:r>
            <w:r>
              <w:t xml:space="preserve"> ms:</w:t>
            </w:r>
          </w:p>
          <w:p>
            <w:pPr>
              <w:pStyle w:val="53"/>
              <w:numPr>
                <w:ilvl w:val="2"/>
                <w:numId w:val="10"/>
              </w:numPr>
              <w:overflowPunct/>
              <w:autoSpaceDE/>
              <w:autoSpaceDN/>
              <w:adjustRightInd/>
              <w:textAlignment w:val="auto"/>
            </w:pPr>
            <w:r>
              <w:t>CD-SSB in DL BWP is the measured SSB and NCD-SSB in RedCap specific DL BWP is the target SSB for HO</w:t>
            </w:r>
          </w:p>
          <w:p>
            <w:pPr>
              <w:pStyle w:val="53"/>
              <w:numPr>
                <w:ilvl w:val="2"/>
                <w:numId w:val="10"/>
              </w:numPr>
              <w:overflowPunct/>
              <w:autoSpaceDE/>
              <w:autoSpaceDN/>
              <w:adjustRightInd/>
              <w:textAlignment w:val="auto"/>
            </w:pPr>
            <w:r>
              <w:t>NCD-SSB in RedCap specific DL BWP is the measured SSB and CD-SSB in DL BWP is the target SSB for HO</w:t>
            </w:r>
          </w:p>
          <w:p>
            <w:pPr>
              <w:pStyle w:val="53"/>
              <w:numPr>
                <w:ilvl w:val="2"/>
                <w:numId w:val="10"/>
              </w:numPr>
              <w:overflowPunct/>
              <w:autoSpaceDE/>
              <w:autoSpaceDN/>
              <w:adjustRightInd/>
              <w:textAlignment w:val="auto"/>
            </w:pPr>
            <w:r>
              <w:t>Both measured SSB and the target SSB for HO are NCD-SSBs within different RedCap specific DL BWPs</w:t>
            </w:r>
          </w:p>
          <w:p>
            <w:pPr>
              <w:pStyle w:val="53"/>
              <w:ind w:left="852" w:firstLine="0"/>
            </w:pPr>
            <w:r>
              <w:t xml:space="preserve">Otherwise, the target cell is an unknown </w:t>
            </w:r>
            <w:r>
              <w:rPr>
                <w:b/>
                <w:bCs/>
              </w:rPr>
              <w:t>inter-frequency cell</w:t>
            </w:r>
            <w:r>
              <w:t>. In this case, if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3* T</w:t>
            </w:r>
            <w:r>
              <w:rPr>
                <w:highlight w:val="yellow"/>
                <w:vertAlign w:val="subscript"/>
              </w:rPr>
              <w:t>rs</w:t>
            </w:r>
            <w:r>
              <w:rPr>
                <w:highlight w:val="yellow"/>
              </w:rPr>
              <w:t xml:space="preserve"> </w:t>
            </w:r>
            <w:r>
              <w:t xml:space="preserve">ms if the UE </w:t>
            </w:r>
            <w:r>
              <w:rPr>
                <w:rFonts w:cs="v4.2.0"/>
              </w:rPr>
              <w:t xml:space="preserve">is operating with </w:t>
            </w:r>
            <w:r>
              <w:rPr>
                <w:highlight w:val="yellow"/>
                <w:lang w:eastAsia="zh-CN"/>
              </w:rPr>
              <w:t>2 Rx antenna</w:t>
            </w:r>
            <w:r>
              <w:rPr>
                <w:highlight w:val="yellow"/>
              </w:rPr>
              <w:t>s</w:t>
            </w:r>
            <w:r>
              <w:t>;</w:t>
            </w:r>
            <w:r>
              <w:rPr>
                <w:highlight w:val="cyan"/>
              </w:rPr>
              <w:t xml:space="preserve"> T</w:t>
            </w:r>
            <w:r>
              <w:rPr>
                <w:highlight w:val="cyan"/>
                <w:vertAlign w:val="subscript"/>
              </w:rPr>
              <w:t>search</w:t>
            </w:r>
            <w:r>
              <w:rPr>
                <w:highlight w:val="cyan"/>
              </w:rPr>
              <w:t xml:space="preserve"> = 5*T</w:t>
            </w:r>
            <w:r>
              <w:rPr>
                <w:highlight w:val="cyan"/>
                <w:vertAlign w:val="subscript"/>
              </w:rPr>
              <w:t>rs</w:t>
            </w:r>
            <w:r>
              <w:t xml:space="preserve"> ms if </w:t>
            </w:r>
            <w:r>
              <w:rPr>
                <w:rFonts w:cs="v4.2.0"/>
              </w:rPr>
              <w:t>UE is operating with only</w:t>
            </w:r>
            <w:r>
              <w:rPr>
                <w:lang w:eastAsia="zh-CN"/>
              </w:rPr>
              <w:t xml:space="preserve"> </w:t>
            </w:r>
            <w:r>
              <w:rPr>
                <w:highlight w:val="cyan"/>
                <w:lang w:eastAsia="zh-CN"/>
              </w:rPr>
              <w:t>1 Rx antenna</w:t>
            </w:r>
            <w:r>
              <w:t>.</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NR NTN interruption time</w:t>
            </w:r>
            <w:r>
              <w:rPr>
                <w:rFonts w:hint="eastAsia" w:eastAsia="宋体"/>
                <w:sz w:val="22"/>
                <w:vertAlign w:val="baseline"/>
                <w:lang w:val="en-US" w:eastAsia="zh-CN"/>
              </w:rPr>
              <w:t>:</w:t>
            </w:r>
          </w:p>
          <w:p>
            <w:pPr>
              <w:rPr>
                <w:rFonts w:cs="v4.2.0"/>
                <w:lang w:eastAsia="zh-CN"/>
              </w:rPr>
            </w:pPr>
            <w:r>
              <w:rPr>
                <w:rFonts w:cs="v4.2.0"/>
              </w:rPr>
              <w:t xml:space="preserve">When </w:t>
            </w:r>
            <w:r>
              <w:rPr>
                <w:rFonts w:cs="v4.2.0"/>
                <w:b/>
                <w:bCs/>
              </w:rPr>
              <w:t>intra-frequency</w:t>
            </w:r>
            <w:r>
              <w:rPr>
                <w:rFonts w:cs="v4.2.0"/>
              </w:rPr>
              <w:t xml:space="preserve"> or </w:t>
            </w:r>
            <w:r>
              <w:rPr>
                <w:rFonts w:cs="v4.2.0"/>
                <w:b/>
                <w:bCs/>
              </w:rPr>
              <w:t>inter-frequency</w:t>
            </w:r>
            <w:r>
              <w:rPr>
                <w:rFonts w:cs="v4.2.0"/>
              </w:rPr>
              <w:t xml:space="preserve">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t>T</w:t>
            </w:r>
            <w:r>
              <w:rPr>
                <w:vertAlign w:val="subscript"/>
              </w:rPr>
              <w:t>search</w:t>
            </w:r>
            <w:r>
              <w:t xml:space="preserve"> is the </w:t>
            </w:r>
            <w:r>
              <w:rPr>
                <w:highlight w:val="none"/>
              </w:rPr>
              <w:t xml:space="preserve">time required to search the target </w:t>
            </w:r>
            <w:r>
              <w:rPr>
                <w:rFonts w:hint="eastAsia"/>
                <w:highlight w:val="none"/>
                <w:lang w:eastAsia="zh-CN"/>
              </w:rPr>
              <w:t xml:space="preserve">NR SAN </w:t>
            </w:r>
            <w:r>
              <w:rPr>
                <w:highlight w:val="none"/>
              </w:rPr>
              <w:t xml:space="preserve">cell </w:t>
            </w:r>
            <w:r>
              <w:t>when the target cell is not already known when the handover command is received by the UE. If the target cell is known, then</w:t>
            </w:r>
            <w:r>
              <w:rPr>
                <w:highlight w:val="yellow"/>
              </w:rPr>
              <w:t xml:space="preserve"> T</w:t>
            </w:r>
            <w:r>
              <w:rPr>
                <w:highlight w:val="yellow"/>
                <w:vertAlign w:val="subscript"/>
              </w:rPr>
              <w:t>search</w:t>
            </w:r>
            <w:r>
              <w:rPr>
                <w:highlight w:val="yellow"/>
              </w:rPr>
              <w:t xml:space="preserve"> = 0 ms</w:t>
            </w:r>
            <w:r>
              <w:t>. If the target cell is</w:t>
            </w:r>
            <w:r>
              <w:rPr>
                <w:highlight w:val="yellow"/>
              </w:rPr>
              <w:t xml:space="preserve"> an unknown intra-frequency</w:t>
            </w:r>
            <w:r>
              <w:t xml:space="preserve"> cell and the target cell Es/Iot</w:t>
            </w:r>
            <w:r>
              <w:rPr>
                <w:rFonts w:hint="eastAsia"/>
                <w:lang w:eastAsia="zh-CN"/>
              </w:rPr>
              <w:t xml:space="preserve"> </w:t>
            </w:r>
            <w:r>
              <w:t>≥</w:t>
            </w:r>
            <w:r>
              <w:rPr>
                <w:rFonts w:hint="eastAsia"/>
                <w:lang w:eastAsia="zh-CN"/>
              </w:rPr>
              <w:t xml:space="preserve"> </w:t>
            </w:r>
            <w:r>
              <w:t xml:space="preserve">-2 dB, then </w:t>
            </w:r>
            <w:r>
              <w:rPr>
                <w:highlight w:val="yellow"/>
              </w:rPr>
              <w:t>T</w:t>
            </w:r>
            <w:r>
              <w:rPr>
                <w:highlight w:val="yellow"/>
                <w:vertAlign w:val="subscript"/>
              </w:rPr>
              <w:t>search</w:t>
            </w:r>
            <w:r>
              <w:rPr>
                <w:highlight w:val="yellow"/>
              </w:rPr>
              <w:t xml:space="preserve"> = T</w:t>
            </w:r>
            <w:r>
              <w:rPr>
                <w:highlight w:val="yellow"/>
                <w:vertAlign w:val="subscript"/>
              </w:rPr>
              <w:t>rs</w:t>
            </w:r>
            <w:r>
              <w:rPr>
                <w:highlight w:val="yellow"/>
              </w:rPr>
              <w:t xml:space="preserve"> ms</w:t>
            </w:r>
            <w:r>
              <w:t xml:space="preserve">. If the target cell is an </w:t>
            </w:r>
            <w:r>
              <w:rPr>
                <w:highlight w:val="yellow"/>
              </w:rPr>
              <w:t>unknown inter-frequency</w:t>
            </w:r>
            <w:r>
              <w:t xml:space="preserve"> cell and the target cell Es/Iot</w:t>
            </w:r>
            <w:r>
              <w:rPr>
                <w:rFonts w:hint="eastAsia"/>
                <w:lang w:eastAsia="zh-CN"/>
              </w:rPr>
              <w:t xml:space="preserve"> </w:t>
            </w:r>
            <w:r>
              <w:t>≥</w:t>
            </w:r>
            <w:r>
              <w:rPr>
                <w:rFonts w:hint="eastAsia"/>
                <w:lang w:eastAsia="zh-CN"/>
              </w:rPr>
              <w:t xml:space="preserve"> </w:t>
            </w:r>
            <w:r>
              <w:t>-2 dB, then</w:t>
            </w:r>
            <w:r>
              <w:rPr>
                <w:highlight w:val="yellow"/>
              </w:rPr>
              <w:t xml:space="preserve"> T</w:t>
            </w:r>
            <w:r>
              <w:rPr>
                <w:highlight w:val="yellow"/>
                <w:vertAlign w:val="subscript"/>
              </w:rPr>
              <w:t>search</w:t>
            </w:r>
            <w:r>
              <w:rPr>
                <w:highlight w:val="yellow"/>
              </w:rPr>
              <w:t xml:space="preserve"> = 3* T</w:t>
            </w:r>
            <w:r>
              <w:rPr>
                <w:highlight w:val="yellow"/>
                <w:vertAlign w:val="subscript"/>
              </w:rPr>
              <w:t>rs</w:t>
            </w:r>
            <w:r>
              <w:rPr>
                <w:highlight w:val="yellow"/>
              </w:rPr>
              <w:t xml:space="preserve"> ms</w:t>
            </w:r>
            <w:r>
              <w:t>. Regardless of whether DRX is in use by the UE, T</w:t>
            </w:r>
            <w:r>
              <w:rPr>
                <w:vertAlign w:val="subscript"/>
              </w:rPr>
              <w:t>search</w:t>
            </w:r>
            <w:r>
              <w:t xml:space="preserve"> shall still be based on non-DRX target cell search times.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handover between NTN and NTN, we defined  the handover delay and specify the concrete parameters which are the same as legacy normal UE in TN. We also find that RAN4 has already defined the handover delay for RedCap UEs in TN scenario. As can be seen by comparison, the value of Tsearch is impacted by reduced UE Rx branches and the main difference is the values for 1Rx.  For 2Rx RedCap UEs, the values are same. From my perspective, the legacy Tsearch values for 1Rx UE shall be reused when we considering to define the handover delay for 1Rx RedCap UE in NTN. That is,</w:t>
      </w:r>
    </w:p>
    <w:p>
      <w:pPr>
        <w:numPr>
          <w:ilvl w:val="0"/>
          <w:numId w:val="11"/>
        </w:numPr>
        <w:overflowPunct w:val="0"/>
        <w:autoSpaceDE w:val="0"/>
        <w:autoSpaceDN w:val="0"/>
        <w:adjustRightInd w:val="0"/>
        <w:spacing w:before="120" w:after="120" w:line="360" w:lineRule="auto"/>
        <w:ind w:left="420" w:hanging="420"/>
        <w:jc w:val="both"/>
        <w:textAlignment w:val="baseline"/>
      </w:pPr>
      <w:r>
        <w:t>If the target cell is a known intra-frequency cell, T</w:t>
      </w:r>
      <w:r>
        <w:rPr>
          <w:vertAlign w:val="subscript"/>
        </w:rPr>
        <w:t>search</w:t>
      </w:r>
      <w:r>
        <w:t xml:space="preserve"> = 0ms. </w:t>
      </w:r>
    </w:p>
    <w:p>
      <w:pPr>
        <w:numPr>
          <w:ilvl w:val="0"/>
          <w:numId w:val="11"/>
        </w:numPr>
        <w:overflowPunct w:val="0"/>
        <w:autoSpaceDE w:val="0"/>
        <w:autoSpaceDN w:val="0"/>
        <w:adjustRightInd w:val="0"/>
        <w:spacing w:before="120" w:after="120" w:line="360" w:lineRule="auto"/>
        <w:ind w:left="420" w:hanging="420"/>
        <w:jc w:val="both"/>
        <w:textAlignment w:val="baseline"/>
        <w:rPr>
          <w:rFonts w:hint="eastAsia"/>
          <w:lang w:val="en-US" w:eastAsia="zh-CN"/>
        </w:rPr>
      </w:pPr>
      <w:r>
        <w:t>If the target cell is an unknown intra-frequency cell and the target cell Es/Iot</w:t>
      </w:r>
      <w:r>
        <w:rPr>
          <w:rFonts w:hint="eastAsia"/>
        </w:rPr>
        <w:t>≥</w:t>
      </w:r>
      <w:r>
        <w: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numPr>
          <w:ilvl w:val="0"/>
          <w:numId w:val="11"/>
        </w:numPr>
        <w:overflowPunct w:val="0"/>
        <w:autoSpaceDE w:val="0"/>
        <w:autoSpaceDN w:val="0"/>
        <w:adjustRightInd w:val="0"/>
        <w:spacing w:before="120" w:after="120" w:line="360" w:lineRule="auto"/>
        <w:ind w:left="420" w:hanging="420"/>
        <w:jc w:val="both"/>
        <w:textAlignment w:val="baseline"/>
        <w:rPr>
          <w:rFonts w:hint="default" w:eastAsia="宋体"/>
          <w:lang w:val="en-US" w:eastAsia="zh-CN"/>
        </w:rPr>
      </w:pPr>
      <w:r>
        <w:rPr>
          <w:rFonts w:hint="eastAsia"/>
          <w:lang w:val="en-US" w:eastAsia="zh-CN"/>
        </w:rPr>
        <w:t xml:space="preserve">If the target cell is an unknown inter-frequency cell </w:t>
      </w:r>
      <w:r>
        <w:t>and the target cell Es/Iot</w:t>
      </w:r>
      <w:r>
        <w:rPr>
          <w:rFonts w:hint="eastAsia"/>
        </w:rPr>
        <w:t>≥</w:t>
      </w:r>
      <w:r>
        <w:t>-2 dB</w:t>
      </w:r>
      <w:r>
        <w:rPr>
          <w:rFonts w:hint="eastAsia" w:eastAsia="宋体"/>
          <w:lang w:val="en-US" w:eastAsia="zh-CN"/>
        </w:rPr>
        <w:t xml:space="preserve">, </w:t>
      </w:r>
      <w:r>
        <w:t>then T</w:t>
      </w:r>
      <w:r>
        <w:rPr>
          <w:vertAlign w:val="subscript"/>
        </w:rPr>
        <w:t>search</w:t>
      </w:r>
      <w:r>
        <w:t xml:space="preserve"> = </w:t>
      </w:r>
      <w:r>
        <w:rPr>
          <w:rFonts w:hint="eastAsia" w:eastAsia="宋体"/>
          <w:lang w:val="en-US" w:eastAsia="zh-CN"/>
        </w:rPr>
        <w:t>3</w:t>
      </w:r>
      <w:r>
        <w:t>*T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w:t>
      </w:r>
      <w:r>
        <w:rPr>
          <w:rFonts w:hint="eastAsia" w:eastAsia="宋体"/>
          <w:highlight w:val="cyan"/>
          <w:lang w:val="en-US" w:eastAsia="zh-CN"/>
        </w:rPr>
        <w:t>5</w:t>
      </w:r>
      <w:r>
        <w:rPr>
          <w:highlight w:val="cyan"/>
        </w:rPr>
        <w:t>*T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5: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9: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default" w:eastAsia="宋体"/>
          <w:b/>
          <w:bCs/>
          <w:lang w:val="en-US" w:eastAsia="zh-CN"/>
        </w:rPr>
      </w:pPr>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Re-establishment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RRC re-establishment requirements, we mainly focus on time to identify the target intra-frequency NR cell </w:t>
      </w:r>
      <m:oMath>
        <m:sSub>
          <m:sSubPr>
            <m:ctrlPr>
              <w:rPr>
                <w:rFonts w:hint="eastAsia" w:ascii="Cambria Math" w:hAnsi="Cambria Math" w:eastAsia="宋体"/>
                <w:sz w:val="20"/>
                <w:szCs w:val="20"/>
                <w:lang w:val="en-US" w:eastAsia="ko-KR"/>
              </w:rPr>
            </m:ctrlPr>
          </m:sSubPr>
          <m:e>
            <m:r>
              <m:rPr>
                <m:sty m:val="p"/>
              </m:rPr>
              <w:rPr>
                <w:rFonts w:hint="eastAsia" w:ascii="Cambria Math" w:hAnsi="Cambria Math" w:eastAsia="宋体"/>
                <w:sz w:val="20"/>
                <w:szCs w:val="20"/>
                <w:lang w:val="en-US" w:eastAsia="ko-KR"/>
              </w:rPr>
              <m:t>T</m:t>
            </m:r>
            <m:ctrlPr>
              <w:rPr>
                <w:rFonts w:hint="eastAsia" w:ascii="Cambria Math" w:hAnsi="Cambria Math" w:eastAsia="宋体"/>
                <w:sz w:val="20"/>
                <w:szCs w:val="20"/>
                <w:lang w:val="en-US" w:eastAsia="ko-KR"/>
              </w:rPr>
            </m:ctrlPr>
          </m:e>
          <m:sub>
            <m:r>
              <m:rPr>
                <m:sty m:val="p"/>
              </m:rPr>
              <w:rPr>
                <w:rFonts w:hint="eastAsia" w:ascii="Cambria Math" w:hAnsi="Cambria Math" w:eastAsia="宋体"/>
                <w:sz w:val="20"/>
                <w:szCs w:val="20"/>
                <w:lang w:val="en-US" w:eastAsia="ko-KR"/>
              </w:rPr>
              <m:t>identify_intra_NR</m:t>
            </m:r>
            <m:ctrlPr>
              <w:rPr>
                <w:rFonts w:hint="eastAsia" w:ascii="Cambria Math" w:hAnsi="Cambria Math" w:eastAsia="宋体"/>
                <w:sz w:val="20"/>
                <w:szCs w:val="20"/>
                <w:lang w:val="en-US" w:eastAsia="ko-KR"/>
              </w:rPr>
            </m:ctrlPr>
          </m:sub>
        </m:sSub>
      </m:oMath>
      <w:r>
        <w:rPr>
          <w:rFonts w:hint="eastAsia" w:eastAsia="宋体"/>
          <w:sz w:val="20"/>
          <w:szCs w:val="20"/>
          <w:lang w:val="en-US" w:eastAsia="zh-CN"/>
        </w:rPr>
        <w:t xml:space="preserve"> and target inter-frequency NR cell </w:t>
      </w:r>
      <m:oMath>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T</m:t>
            </m:r>
            <m:ctrlPr>
              <w:rPr>
                <w:rFonts w:hint="eastAsia" w:ascii="Cambria Math" w:hAnsi="Cambria Math" w:eastAsia="宋体"/>
                <w:sz w:val="20"/>
                <w:szCs w:val="20"/>
                <w:lang w:val="en-US" w:eastAsia="zh-CN"/>
              </w:rPr>
            </m:ctrlPr>
          </m:e>
          <m:sub>
            <m:r>
              <m:rPr>
                <m:sty m:val="p"/>
              </m:rPr>
              <w:rPr>
                <w:rFonts w:hint="eastAsia" w:ascii="Cambria Math" w:hAnsi="Cambria Math" w:eastAsia="宋体"/>
                <w:sz w:val="20"/>
                <w:szCs w:val="20"/>
                <w:lang w:val="en-US" w:eastAsia="zh-CN"/>
              </w:rPr>
              <m:t>identify_inter_NR,i</m:t>
            </m:r>
            <m:ctrlPr>
              <w:rPr>
                <w:rFonts w:hint="eastAsia" w:ascii="Cambria Math" w:hAnsi="Cambria Math" w:eastAsia="宋体"/>
                <w:sz w:val="20"/>
                <w:szCs w:val="20"/>
                <w:lang w:val="en-US" w:eastAsia="zh-CN"/>
              </w:rPr>
            </m:ctrlPr>
          </m:sub>
        </m:sSub>
      </m:oMath>
      <w:r>
        <w:rPr>
          <w:rFonts w:hint="eastAsia" w:eastAsia="宋体"/>
          <w:sz w:val="20"/>
          <w:szCs w:val="20"/>
          <w:lang w:val="en-US" w:eastAsia="zh-CN"/>
        </w:rPr>
        <w:t>.  We can see the specific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normal UE in TN:</w:t>
            </w:r>
          </w:p>
          <w:p>
            <w:pPr>
              <w:rPr>
                <w:highlight w:val="none"/>
                <w:lang w:eastAsia="ko-KR"/>
              </w:rPr>
            </w:pPr>
            <w:r>
              <w:rPr>
                <w:highlight w:val="none"/>
                <w:lang w:eastAsia="ko-KR"/>
              </w:rPr>
              <w:t>T</w:t>
            </w:r>
            <w:r>
              <w:rPr>
                <w:highlight w:val="none"/>
                <w:vertAlign w:val="subscript"/>
                <w:lang w:eastAsia="ko-KR"/>
              </w:rPr>
              <w:t>identify_intra_NR</w:t>
            </w:r>
            <w:r>
              <w:rPr>
                <w:highlight w:val="none"/>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highlight w:val="none"/>
                <w:vertAlign w:val="subscript"/>
                <w:lang w:eastAsia="ko-KR"/>
              </w:rPr>
              <w:t>identify_intra_NR</w:t>
            </w:r>
            <w:r>
              <w:rPr>
                <w:highlight w:val="none"/>
                <w:lang w:eastAsia="ko-KR"/>
              </w:rPr>
              <w:t>=0; otherwise T</w:t>
            </w:r>
            <w:r>
              <w:rPr>
                <w:highlight w:val="none"/>
                <w:vertAlign w:val="subscript"/>
                <w:lang w:eastAsia="ko-KR"/>
              </w:rPr>
              <w:t>identify_intra_NR</w:t>
            </w:r>
            <w:r>
              <w:rPr>
                <w:highlight w:val="none"/>
                <w:lang w:eastAsia="ko-KR"/>
              </w:rPr>
              <w:t xml:space="preserve"> shall not exceed the values defined in </w:t>
            </w:r>
            <w:r>
              <w:rPr>
                <w:highlight w:val="none"/>
                <w:lang w:eastAsia="zh-CN"/>
              </w:rPr>
              <w:t>T</w:t>
            </w:r>
            <w:r>
              <w:rPr>
                <w:highlight w:val="none"/>
                <w:lang w:eastAsia="ko-KR"/>
              </w:rPr>
              <w:t xml:space="preserve">able 6.2.1.2.1-1 when </w:t>
            </w:r>
            <w:r>
              <w:rPr>
                <w:i/>
                <w:iCs/>
                <w:highlight w:val="none"/>
              </w:rPr>
              <w:t>highSpeedMeasFlagFR2-r17</w:t>
            </w:r>
            <w:r>
              <w:rPr>
                <w:highlight w:val="none"/>
                <w:lang w:eastAsia="ko-KR"/>
              </w:rPr>
              <w:t xml:space="preserve"> is not configured or UE is not capable of FR2 power class 6 and </w:t>
            </w:r>
            <w:r>
              <w:rPr>
                <w:highlight w:val="none"/>
                <w:lang w:eastAsia="zh-CN"/>
              </w:rPr>
              <w:t>T</w:t>
            </w:r>
            <w:r>
              <w:rPr>
                <w:highlight w:val="none"/>
                <w:lang w:eastAsia="ko-KR"/>
              </w:rPr>
              <w:t xml:space="preserve">able 6.2.1.2.1-3 when </w:t>
            </w:r>
            <w:r>
              <w:rPr>
                <w:i/>
                <w:iCs/>
                <w:highlight w:val="none"/>
              </w:rPr>
              <w:t>highSpeedMeasFlagFR2-r17</w:t>
            </w:r>
            <w:r>
              <w:rPr>
                <w:highlight w:val="none"/>
                <w:lang w:eastAsia="ko-KR"/>
              </w:rPr>
              <w:t xml:space="preserve"> is configured</w:t>
            </w:r>
            <w:r>
              <w:rPr>
                <w:rFonts w:eastAsia="Yu Mincho"/>
                <w:highlight w:val="none"/>
                <w:lang w:eastAsia="ko-KR"/>
              </w:rPr>
              <w:t xml:space="preserve"> and UE is capable of FR2 power class 6</w:t>
            </w:r>
            <w:r>
              <w:rPr>
                <w:highlight w:val="none"/>
                <w:lang w:eastAsia="ko-KR"/>
              </w:rPr>
              <w:t>.</w:t>
            </w:r>
          </w:p>
          <w:p>
            <w:pPr>
              <w:rPr>
                <w:highlight w:val="none"/>
                <w:lang w:eastAsia="ko-KR"/>
              </w:rPr>
            </w:pPr>
            <w:r>
              <w:rPr>
                <w:highlight w:val="none"/>
                <w:lang w:eastAsia="ko-KR"/>
              </w:rPr>
              <w:t>T</w:t>
            </w:r>
            <w:r>
              <w:rPr>
                <w:highlight w:val="none"/>
                <w:vertAlign w:val="subscript"/>
                <w:lang w:eastAsia="ko-KR"/>
              </w:rPr>
              <w:t>identify_inter_NR,i</w:t>
            </w:r>
            <w:r>
              <w:rPr>
                <w:highlight w:val="none"/>
                <w:lang w:eastAsia="ko-KR"/>
              </w:rPr>
              <w:t xml:space="preserve">: It is the time to identify the target inter-frequency NR cell on inter-frequency carrier </w:t>
            </w:r>
            <w:r>
              <w:rPr>
                <w:i/>
                <w:highlight w:val="none"/>
                <w:lang w:eastAsia="ko-KR"/>
              </w:rPr>
              <w:t>i</w:t>
            </w:r>
            <w:r>
              <w:rPr>
                <w:highlight w:val="none"/>
                <w:lang w:eastAsia="ko-KR"/>
              </w:rPr>
              <w:t xml:space="preserve"> configured for RRC re-establishment and it depends on whether the target NR cell is known cell or unknown cell and on the FR of the target NR cell. T</w:t>
            </w:r>
            <w:r>
              <w:rPr>
                <w:highlight w:val="none"/>
                <w:vertAlign w:val="subscript"/>
                <w:lang w:eastAsia="ko-KR"/>
              </w:rPr>
              <w:t>identify_inter_NR,i</w:t>
            </w:r>
            <w:r>
              <w:rPr>
                <w:highlight w:val="none"/>
                <w:lang w:eastAsia="ko-KR"/>
              </w:rPr>
              <w:t xml:space="preserve"> shall not exceed the values defined in </w:t>
            </w:r>
            <w:r>
              <w:rPr>
                <w:rFonts w:hint="eastAsia"/>
                <w:highlight w:val="none"/>
                <w:lang w:eastAsia="zh-CN"/>
              </w:rPr>
              <w:t>T</w:t>
            </w:r>
            <w:r>
              <w:rPr>
                <w:highlight w:val="none"/>
                <w:lang w:eastAsia="ko-KR"/>
              </w:rPr>
              <w:t>able 6.2.1.2.1-2.</w:t>
            </w:r>
          </w:p>
          <w:p>
            <w:pPr>
              <w:pStyle w:val="55"/>
            </w:pPr>
            <w:r>
              <w:t>Table 6.2.1.2.1-1: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pPr>
                  <w:r>
                    <w:t xml:space="preserve">MAX (200 ms, </w:t>
                  </w:r>
                  <w:r>
                    <w:rPr>
                      <w:highlight w:val="yellow"/>
                    </w:rPr>
                    <w:t>5</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10</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rFonts w:cs="Arial"/>
                      <w:lang w:eastAsia="ko-KR"/>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120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FR2-1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bookmarkStart w:id="2" w:name="_Hlk521492617"/>
                  <w:r>
                    <w:rPr>
                      <w:lang w:eastAsia="ko-KR"/>
                    </w:rPr>
                    <w:t>3520</w:t>
                  </w:r>
                  <w:bookmarkEnd w:id="2"/>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ko-KR"/>
                    </w:rPr>
                  </w:pPr>
                  <w:r>
                    <w:rPr>
                      <w:lang w:eastAsia="ko-KR"/>
                    </w:rPr>
                    <w:t>&lt; -8</w:t>
                  </w:r>
                </w:p>
              </w:tc>
              <w:tc>
                <w:tcPr>
                  <w:tcW w:w="1837" w:type="dxa"/>
                  <w:shd w:val="clear" w:color="auto" w:fill="auto"/>
                </w:tcPr>
                <w:p>
                  <w:pPr>
                    <w:pStyle w:val="47"/>
                    <w:rPr>
                      <w:lang w:eastAsia="ko-KR"/>
                    </w:rPr>
                  </w:pPr>
                  <w:r>
                    <w:rPr>
                      <w:lang w:eastAsia="ko-KR"/>
                    </w:rPr>
                    <w:t>FR2-2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5280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Table 6.2.1.2.1-2: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pPr>
                  <w:r>
                    <w:t xml:space="preserve">MAX (200 ms, </w:t>
                  </w:r>
                  <w:r>
                    <w:rPr>
                      <w:highlight w:val="cyan"/>
                    </w:rPr>
                    <w:t xml:space="preserve">6 </w:t>
                  </w:r>
                  <w:r>
                    <w:t>x T</w:t>
                  </w:r>
                  <w:r>
                    <w:rPr>
                      <w:vertAlign w:val="subscript"/>
                    </w:rPr>
                    <w:t>SMTC, i</w:t>
                  </w:r>
                  <w:r>
                    <w:t>)</w:t>
                  </w:r>
                </w:p>
              </w:tc>
              <w:tc>
                <w:tcPr>
                  <w:tcW w:w="3411" w:type="dxa"/>
                  <w:shd w:val="clear" w:color="auto" w:fill="auto"/>
                </w:tcPr>
                <w:p>
                  <w:pPr>
                    <w:pStyle w:val="47"/>
                  </w:pPr>
                  <w:r>
                    <w:t xml:space="preserve">MAX (800 ms, </w:t>
                  </w:r>
                  <w:r>
                    <w:rPr>
                      <w:highlight w:val="cyan"/>
                    </w:rPr>
                    <w:t>13</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rFonts w:cs="Arial"/>
                      <w:lang w:eastAsia="ko-KR"/>
                    </w:rPr>
                  </w:pPr>
                  <w:r>
                    <w:rPr>
                      <w:rFonts w:hint="eastAsia" w:cs="Arial"/>
                      <w:lang w:eastAsia="ko-KR"/>
                    </w:rPr>
                    <w:t>≥</w:t>
                  </w:r>
                  <w:r>
                    <w:rPr>
                      <w:lang w:eastAsia="ko-KR"/>
                    </w:rPr>
                    <w:t xml:space="preserve">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156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bookmarkStart w:id="3" w:name="_Hlk521492632"/>
                  <w:r>
                    <w:t>800</w:t>
                  </w:r>
                  <w:bookmarkEnd w:id="3"/>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ko-KR"/>
                    </w:rPr>
                  </w:pPr>
                  <w:r>
                    <w:rPr>
                      <w:lang w:eastAsia="ko-KR"/>
                    </w:rPr>
                    <w:t>&lt;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val="sv-SE" w:eastAsia="ko-KR"/>
                    </w:rPr>
                  </w:pPr>
                  <w:r>
                    <w:rPr>
                      <w:lang w:val="sv-SE" w:eastAsia="ko-KR"/>
                    </w:rPr>
                    <w:t>6000</w:t>
                  </w:r>
                  <w:r>
                    <w:rPr>
                      <w:vertAlign w:val="superscript"/>
                      <w:lang w:val="sv-SE"/>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lang w:val="en-US" w:eastAsia="ko-KR"/>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RedCap UE in TN:</w:t>
            </w:r>
          </w:p>
          <w:p>
            <w:pPr>
              <w:rPr>
                <w:rFonts w:cs="v4.2.0"/>
              </w:rPr>
            </w:pPr>
            <w:r>
              <w:rPr>
                <w:highlight w:val="yellow"/>
              </w:rPr>
              <w:t xml:space="preserve">The requirements in clause </w:t>
            </w:r>
            <w:r>
              <w:rPr>
                <w:highlight w:val="yellow"/>
                <w:lang w:val="en-US" w:eastAsia="zh-CN"/>
              </w:rPr>
              <w:t>6.2.1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6.2.1 </w:t>
            </w:r>
            <w:r>
              <w:rPr>
                <w:rFonts w:cs="v4.2.0"/>
              </w:rPr>
              <w:t>shall apply except that:</w:t>
            </w:r>
          </w:p>
          <w:p>
            <w:pPr>
              <w:pStyle w:val="53"/>
            </w:pPr>
            <w:r>
              <w:t>-</w:t>
            </w:r>
            <w:r>
              <w:tab/>
            </w:r>
            <w:r>
              <w:rPr>
                <w:lang w:eastAsia="ko-KR"/>
              </w:rPr>
              <w:t>T</w:t>
            </w:r>
            <w:r>
              <w:rPr>
                <w:vertAlign w:val="subscript"/>
                <w:lang w:eastAsia="ko-KR"/>
              </w:rPr>
              <w:t>identify_intra_NR</w:t>
            </w:r>
            <w:r>
              <w:rPr>
                <w:i/>
                <w:vertAlign w:val="subscript"/>
              </w:rPr>
              <w:t xml:space="preserve"> </w:t>
            </w:r>
            <w:r>
              <w:t xml:space="preserve">as specified in Table </w:t>
            </w:r>
            <w:r>
              <w:rPr>
                <w:lang w:eastAsia="ko-KR"/>
              </w:rPr>
              <w:t>6.2.1B.2</w:t>
            </w:r>
            <w:r>
              <w:t>-1.</w:t>
            </w:r>
          </w:p>
          <w:p>
            <w:pPr>
              <w:pStyle w:val="53"/>
            </w:pPr>
            <w:r>
              <w:t>-</w:t>
            </w:r>
            <w:r>
              <w:tab/>
            </w:r>
            <w:r>
              <w:rPr>
                <w:lang w:eastAsia="ko-KR"/>
              </w:rPr>
              <w:t>T</w:t>
            </w:r>
            <w:r>
              <w:rPr>
                <w:vertAlign w:val="subscript"/>
                <w:lang w:eastAsia="ko-KR"/>
              </w:rPr>
              <w:t>identify_inter_NR, i</w:t>
            </w:r>
            <w:r>
              <w:t xml:space="preserve"> as specified in Table </w:t>
            </w:r>
            <w:r>
              <w:rPr>
                <w:lang w:eastAsia="ko-KR"/>
              </w:rPr>
              <w:t>6.2.1B.2</w:t>
            </w:r>
            <w:r>
              <w:t>-2.</w:t>
            </w:r>
          </w:p>
          <w:p>
            <w:pPr>
              <w:pStyle w:val="55"/>
            </w:pPr>
            <w:r>
              <w:t xml:space="preserve">Table </w:t>
            </w:r>
            <w:r>
              <w:rPr>
                <w:lang w:eastAsia="ko-KR"/>
              </w:rPr>
              <w:t>6.2.1B.2</w:t>
            </w:r>
            <w:r>
              <w:t>-1: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t xml:space="preserve">MAX (200 ms, </w:t>
                  </w:r>
                  <w:r>
                    <w:rPr>
                      <w:highlight w:val="yellow"/>
                    </w:rPr>
                    <w:t>6</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[11]</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 xml:space="preserve">Table </w:t>
            </w:r>
            <w:r>
              <w:rPr>
                <w:lang w:eastAsia="ko-KR"/>
              </w:rPr>
              <w:t>6.2.1B.2</w:t>
            </w:r>
            <w:r>
              <w:t>-2: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t xml:space="preserve">MAX (200 ms, </w:t>
                  </w:r>
                  <w:r>
                    <w:rPr>
                      <w:highlight w:val="cyan"/>
                    </w:rPr>
                    <w:t>7</w:t>
                  </w:r>
                  <w:r>
                    <w:t xml:space="preserve"> x T</w:t>
                  </w:r>
                  <w:r>
                    <w:rPr>
                      <w:vertAlign w:val="subscript"/>
                    </w:rPr>
                    <w:t>SMTC, i</w:t>
                  </w:r>
                  <w:r>
                    <w:t>)</w:t>
                  </w:r>
                </w:p>
              </w:tc>
              <w:tc>
                <w:tcPr>
                  <w:tcW w:w="3411" w:type="dxa"/>
                  <w:shd w:val="clear" w:color="auto" w:fill="auto"/>
                </w:tcPr>
                <w:p>
                  <w:pPr>
                    <w:pStyle w:val="47"/>
                  </w:pPr>
                  <w:r>
                    <w:t xml:space="preserve">MAX (800 ms, </w:t>
                  </w:r>
                  <w:r>
                    <w:rPr>
                      <w:highlight w:val="cyan"/>
                    </w:rPr>
                    <w:t>[14]</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NR NTN:</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.1.2.1-1.</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.1.2.1-2.</w:t>
            </w:r>
          </w:p>
          <w:p>
            <w:pPr>
              <w:pStyle w:val="55"/>
            </w:pPr>
            <w:r>
              <w:t>Table 6.2</w:t>
            </w:r>
            <w:r>
              <w:rPr>
                <w:rFonts w:hint="eastAsia"/>
                <w:lang w:eastAsia="zh-CN"/>
              </w:rPr>
              <w:t>C</w:t>
            </w:r>
            <w:r>
              <w:t>.1.2.1-1: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rPr>
                      <w:lang w:eastAsia="zh-CN"/>
                    </w:rPr>
                    <w:t xml:space="preserve">MAX (200 ms, </w:t>
                  </w:r>
                  <w:r>
                    <w:rPr>
                      <w:highlight w:val="yellow"/>
                      <w:lang w:eastAsia="zh-CN"/>
                    </w:rPr>
                    <w:t>5</w:t>
                  </w:r>
                  <w:r>
                    <w:rPr>
                      <w:lang w:eastAsia="zh-CN"/>
                    </w:rPr>
                    <w:t xml:space="preserve"> x T</w:t>
                  </w:r>
                  <w:r>
                    <w:rPr>
                      <w:vertAlign w:val="subscript"/>
                      <w:lang w:eastAsia="zh-CN"/>
                    </w:rPr>
                    <w:t>SMTC</w:t>
                  </w:r>
                  <w:r>
                    <w:rPr>
                      <w:lang w:eastAsia="zh-CN"/>
                    </w:rPr>
                    <w:t>)</w:t>
                  </w:r>
                </w:p>
              </w:tc>
              <w:tc>
                <w:tcPr>
                  <w:tcW w:w="3375" w:type="dxa"/>
                  <w:shd w:val="clear" w:color="auto" w:fill="auto"/>
                </w:tcPr>
                <w:p>
                  <w:pPr>
                    <w:pStyle w:val="47"/>
                  </w:pPr>
                  <w:r>
                    <w:rPr>
                      <w:lang w:eastAsia="zh-CN"/>
                    </w:rPr>
                    <w:t>K</w:t>
                  </w:r>
                  <w:r>
                    <w:rPr>
                      <w:vertAlign w:val="subscript"/>
                      <w:lang w:eastAsia="zh-CN"/>
                    </w:rPr>
                    <w:t>multi_SMTC</w:t>
                  </w:r>
                  <w:r>
                    <w:rPr>
                      <w:lang w:eastAsia="zh-CN"/>
                    </w:rPr>
                    <w:t xml:space="preserve"> * MAX (800 ms, </w:t>
                  </w:r>
                  <w:r>
                    <w:rPr>
                      <w:highlight w:val="yellow"/>
                      <w:lang w:eastAsia="zh-CN"/>
                    </w:rPr>
                    <w:t>10</w:t>
                  </w:r>
                  <w:r>
                    <w:rPr>
                      <w:lang w:eastAsia="zh-CN"/>
                    </w:rPr>
                    <w:t xml:space="preserve"> x T</w:t>
                  </w:r>
                  <w:r>
                    <w:rPr>
                      <w:vertAlign w:val="subscript"/>
                      <w:lang w:eastAsia="zh-CN"/>
                    </w:rPr>
                    <w:t>SMTC</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0"/>
                    <w:rPr>
                      <w:lang w:eastAsia="ko-KR"/>
                    </w:rPr>
                  </w:pPr>
                  <w:r>
                    <w:rPr>
                      <w:lang w:eastAsia="ko-KR"/>
                    </w:rPr>
                    <w:t>Note 2:</w:t>
                  </w:r>
                  <w:r>
                    <w:tab/>
                  </w:r>
                  <w:r>
                    <w:rPr>
                      <w:lang w:eastAsia="zh-CN"/>
                    </w:rPr>
                    <w:t>K</w:t>
                  </w:r>
                  <w:r>
                    <w:rPr>
                      <w:vertAlign w:val="subscript"/>
                      <w:lang w:eastAsia="zh-CN"/>
                    </w:rPr>
                    <w:t>multi_SMTC</w:t>
                  </w:r>
                  <w:r>
                    <w:t xml:space="preserve"> </w:t>
                  </w:r>
                  <w:r>
                    <w:rPr>
                      <w:lang w:eastAsia="ko-KR"/>
                    </w:rPr>
                    <w:t>is defined in clause 9.2C.5.1.</w:t>
                  </w:r>
                </w:p>
                <w:p>
                  <w:pPr>
                    <w:pStyle w:val="60"/>
                    <w:rPr>
                      <w:lang w:eastAsia="zh-CN"/>
                    </w:rPr>
                  </w:pPr>
                  <w:r>
                    <w:rPr>
                      <w:lang w:eastAsia="ko-KR"/>
                    </w:rPr>
                    <w:t>Note 3:</w:t>
                  </w:r>
                  <w:r>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if the cells on the target frequency are served by LEO, where N is the number of different satellites associated to the list of configured neighbor cells in ntn-NeighCellConfigList and ntn-NeighCellConfigListExt.</w:t>
                  </w:r>
                </w:p>
              </w:tc>
            </w:tr>
          </w:tbl>
          <w:p/>
          <w:p>
            <w:pPr>
              <w:pStyle w:val="55"/>
            </w:pPr>
            <w:r>
              <w:t>Table 6.2</w:t>
            </w:r>
            <w:r>
              <w:rPr>
                <w:rFonts w:hint="eastAsia"/>
                <w:lang w:eastAsia="zh-CN"/>
              </w:rPr>
              <w:t>C</w:t>
            </w:r>
            <w:r>
              <w:t>.1.2.1-2: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rPr>
                      <w:lang w:eastAsia="zh-CN"/>
                    </w:rPr>
                    <w:t xml:space="preserve">MAX (200 ms, </w:t>
                  </w:r>
                  <w:r>
                    <w:rPr>
                      <w:highlight w:val="yellow"/>
                      <w:lang w:eastAsia="zh-CN"/>
                    </w:rPr>
                    <w:t>6</w:t>
                  </w:r>
                  <w:r>
                    <w:rPr>
                      <w:lang w:eastAsia="zh-CN"/>
                    </w:rPr>
                    <w:t xml:space="preserve"> x T</w:t>
                  </w:r>
                  <w:r>
                    <w:rPr>
                      <w:vertAlign w:val="subscript"/>
                      <w:lang w:eastAsia="zh-CN"/>
                    </w:rPr>
                    <w:t>SMTC, i</w:t>
                  </w:r>
                  <w:r>
                    <w:rPr>
                      <w:lang w:eastAsia="zh-CN"/>
                    </w:rPr>
                    <w:t>)</w:t>
                  </w:r>
                </w:p>
              </w:tc>
              <w:tc>
                <w:tcPr>
                  <w:tcW w:w="3411" w:type="dxa"/>
                  <w:shd w:val="clear" w:color="auto" w:fill="auto"/>
                </w:tcPr>
                <w:p>
                  <w:pPr>
                    <w:pStyle w:val="47"/>
                  </w:pPr>
                  <w:r>
                    <w:rPr>
                      <w:lang w:eastAsia="zh-CN"/>
                    </w:rPr>
                    <w:t xml:space="preserve">K_satellite * MAX (800 ms, </w:t>
                  </w:r>
                  <w:r>
                    <w:rPr>
                      <w:highlight w:val="yellow"/>
                      <w:lang w:eastAsia="zh-CN"/>
                    </w:rPr>
                    <w:t>13</w:t>
                  </w:r>
                  <w:r>
                    <w:rPr>
                      <w:lang w:eastAsia="zh-CN"/>
                    </w:rPr>
                    <w:t xml:space="preserve"> x T</w:t>
                  </w:r>
                  <w:r>
                    <w:rPr>
                      <w:vertAlign w:val="subscript"/>
                      <w:lang w:eastAsia="zh-CN"/>
                    </w:rPr>
                    <w:t>SMTC, i</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60"/>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0"/>
                    <w:rPr>
                      <w:lang w:eastAsia="ko-KR"/>
                    </w:rPr>
                  </w:pPr>
                  <w:r>
                    <w:rPr>
                      <w:lang w:eastAsia="ko-KR"/>
                    </w:rPr>
                    <w:t>Note 2:</w:t>
                  </w:r>
                  <w:r>
                    <w:tab/>
                  </w:r>
                  <w:r>
                    <w:rPr>
                      <w:lang w:eastAsia="zh-CN"/>
                    </w:rPr>
                    <w:t>K_satellite</w:t>
                  </w:r>
                  <w:r>
                    <w:t xml:space="preserve"> </w:t>
                  </w:r>
                  <w:r>
                    <w:rPr>
                      <w:lang w:eastAsia="ko-KR"/>
                    </w:rPr>
                    <w:t>is defined in clause 9.3C.4.</w:t>
                  </w:r>
                </w:p>
                <w:p>
                  <w:pPr>
                    <w:pStyle w:val="60"/>
                    <w:rPr>
                      <w:lang w:eastAsia="ko-KR"/>
                    </w:rPr>
                  </w:pPr>
                  <w:r>
                    <w:rPr>
                      <w:lang w:eastAsia="ko-KR"/>
                    </w:rPr>
                    <w:t>Note 3:</w:t>
                  </w:r>
                  <w:r>
                    <w:rPr>
                      <w:lang w:eastAsia="ko-KR"/>
                    </w:rPr>
                    <w:tab/>
                  </w:r>
                  <w:r>
                    <w:rPr>
                      <w:lang w:eastAsia="ko-KR"/>
                    </w:rPr>
                    <w:t>k = 1 if the cells on the target frequency are served by GEO. k = (N+1) if the cells on the target frequency are served by LEO,</w:t>
                  </w:r>
                  <w:r>
                    <w:rPr>
                      <w:rFonts w:ascii="Times New Roman" w:hAnsi="Times New Roman"/>
                      <w:sz w:val="20"/>
                      <w:szCs w:val="24"/>
                      <w:lang w:eastAsia="zh-CN"/>
                    </w:rPr>
                    <w:t xml:space="preserve"> </w:t>
                  </w:r>
                  <w:r>
                    <w:rPr>
                      <w:lang w:eastAsia="ko-KR"/>
                    </w:rPr>
                    <w:t>where N is the number of different satellites associated to the list of configured neighbor cells in ntn-NeighCellConfigList and ntn-NeighCellConfigListExt.</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 Based on the above table, we find that the time to identify target NR intra-frequency and inter frequency cell for 2Rx is the same as legacy normal UE in TN and the time is also same for legacy NTN when </w:t>
      </w:r>
      <w:r>
        <w:rPr>
          <w:rFonts w:hint="eastAsia" w:eastAsia="宋体"/>
          <w:sz w:val="20"/>
          <w:szCs w:val="20"/>
          <w:lang w:val="en-US" w:eastAsia="ko-KR"/>
        </w:rPr>
        <w:t xml:space="preserve"> Ês/Iot </w:t>
      </w:r>
      <w:r>
        <w:rPr>
          <w:rFonts w:hint="eastAsia" w:eastAsia="宋体"/>
          <w:sz w:val="20"/>
          <w:szCs w:val="20"/>
          <w:lang w:val="en-US" w:eastAsia="zh-CN"/>
        </w:rPr>
        <w:t>≥</w:t>
      </w:r>
      <w:r>
        <w:rPr>
          <w:rFonts w:hint="eastAsia" w:eastAsia="宋体"/>
          <w:sz w:val="20"/>
          <w:szCs w:val="20"/>
          <w:lang w:val="en-US" w:eastAsia="ko-KR"/>
        </w:rPr>
        <w:t>-8 dB</w:t>
      </w:r>
      <w:r>
        <w:rPr>
          <w:rFonts w:hint="eastAsia" w:eastAsia="宋体"/>
          <w:sz w:val="20"/>
          <w:szCs w:val="20"/>
          <w:lang w:val="en-US" w:eastAsia="zh-CN"/>
        </w:rPr>
        <w:t>. The main difference is the time for 1Rx RedCap UE. By comparison, we know that only the number of samples is increased (one sample increased). Thus, we deem that the legacy NTN time to identify target intra-frequency and inter-frequency cell shall be reused for 2Rx RedCap UE in NTN scenario. The legacy RedCap UE time to identify target intra-frequency and inter-frequency cell shall be reused for 1Rx RedCap UE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6: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10: For 2Rx RedCap UE, RAN4 shall reuse legacy NTN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11: For 1Rx RedCap UE, RAN4 shall reuse legacy RedCap UE requirements on time to identify intra-frequency and inter-frequency.</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Connection Release with redirection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ko-KR"/>
        </w:rPr>
        <w:t>The UE shall be capable of performing the RRC connection release with redirection to the target NR cell within Tconnection_release_redirect_NR</w:t>
      </w:r>
      <w:r>
        <w:rPr>
          <w:rFonts w:hint="eastAsia" w:eastAsia="宋体"/>
          <w:sz w:val="20"/>
          <w:szCs w:val="20"/>
          <w:lang w:val="en-US" w:eastAsia="zh-CN"/>
        </w:rPr>
        <w:t xml:space="preserve"> including  Tidentify-NR whcih  </w:t>
      </w:r>
      <w:r>
        <w:rPr>
          <w:rFonts w:hint="eastAsia" w:eastAsia="宋体"/>
          <w:sz w:val="20"/>
          <w:szCs w:val="20"/>
          <w:lang w:val="en-US" w:eastAsia="ko-KR"/>
        </w:rPr>
        <w:t>is the time to identify the target NR cell and depends on the FR of the target NR cell.</w:t>
      </w:r>
      <w:r>
        <w:rPr>
          <w:rFonts w:hint="eastAsia" w:eastAsia="宋体"/>
          <w:sz w:val="20"/>
          <w:szCs w:val="20"/>
          <w:lang w:val="en-US" w:eastAsia="zh-CN"/>
        </w:rPr>
        <w:t xml:space="preserve"> The following table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normal UE in TN</w:t>
            </w:r>
            <w:r>
              <w:rPr>
                <w:rFonts w:hint="eastAsia" w:eastAsia="宋体"/>
                <w:vertAlign w:val="baseline"/>
                <w:lang w:val="en-US" w:eastAsia="zh-CN"/>
              </w:rPr>
              <w:t>:</w:t>
            </w:r>
          </w:p>
          <w:p>
            <w:pPr>
              <w:pStyle w:val="55"/>
              <w:jc w:val="left"/>
            </w:pPr>
            <w:r>
              <w:t>Table 6.2.3.2.1-1: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highlight w:val="yellow"/>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11</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FR2-1</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8x11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FR2-2</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12x11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RedCap UE in TN</w:t>
            </w:r>
            <w:r>
              <w:rPr>
                <w:rFonts w:hint="eastAsia" w:eastAsia="宋体"/>
                <w:vertAlign w:val="baseline"/>
                <w:lang w:val="en-US" w:eastAsia="zh-CN"/>
              </w:rPr>
              <w:t>:</w:t>
            </w:r>
          </w:p>
          <w:p>
            <w:pPr>
              <w:rPr>
                <w:rFonts w:cs="v4.2.0"/>
              </w:rPr>
            </w:pPr>
            <w:r>
              <w:rPr>
                <w:highlight w:val="yellow"/>
              </w:rPr>
              <w:t xml:space="preserve">The requirements in clause </w:t>
            </w:r>
            <w:r>
              <w:rPr>
                <w:highlight w:val="yellow"/>
                <w:lang w:val="en-US" w:eastAsia="zh-CN"/>
              </w:rPr>
              <w:t>6.2.3.2.1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w:t>
            </w:r>
            <w:r>
              <w:rPr>
                <w:lang w:val="en-US" w:eastAsia="zh-CN"/>
              </w:rPr>
              <w:t>6.2.3.2.1</w:t>
            </w:r>
            <w:r>
              <w:t xml:space="preserve"> </w:t>
            </w:r>
            <w:r>
              <w:rPr>
                <w:rFonts w:cs="v4.2.0"/>
              </w:rPr>
              <w:t>shall apply except that:</w:t>
            </w:r>
          </w:p>
          <w:p>
            <w:pPr>
              <w:pStyle w:val="53"/>
            </w:pPr>
            <w:r>
              <w:t>-</w:t>
            </w:r>
            <w:r>
              <w:tab/>
            </w:r>
            <w:r>
              <w:rPr>
                <w:lang w:eastAsia="ko-KR"/>
              </w:rPr>
              <w:t>T</w:t>
            </w:r>
            <w:r>
              <w:rPr>
                <w:vertAlign w:val="subscript"/>
                <w:lang w:eastAsia="ko-KR"/>
              </w:rPr>
              <w:t>identify-NR</w:t>
            </w:r>
            <w:r>
              <w:rPr>
                <w:i/>
                <w:vertAlign w:val="subscript"/>
              </w:rPr>
              <w:t xml:space="preserve"> </w:t>
            </w:r>
            <w:r>
              <w:t>as specified in Table 6.2.3A.2.1-1.</w:t>
            </w:r>
          </w:p>
          <w:p>
            <w:pPr>
              <w:pStyle w:val="55"/>
              <w:jc w:val="left"/>
            </w:pPr>
            <w:r>
              <w:t>Table 6.2.3A.2.1-1: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[12]</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NR NTN</w:t>
            </w:r>
            <w:r>
              <w:rPr>
                <w:rFonts w:hint="eastAsia" w:eastAsia="宋体"/>
                <w:vertAlign w:val="baseline"/>
                <w:lang w:val="en-US" w:eastAsia="zh-CN"/>
              </w:rPr>
              <w:t>:</w:t>
            </w:r>
          </w:p>
          <w:p>
            <w:pPr>
              <w:pStyle w:val="55"/>
              <w:jc w:val="left"/>
            </w:pPr>
            <w:r>
              <w:t>Table 6.2</w:t>
            </w:r>
            <w:r>
              <w:rPr>
                <w:rFonts w:hint="eastAsia"/>
                <w:lang w:eastAsia="zh-CN"/>
              </w:rPr>
              <w:t>C</w:t>
            </w:r>
            <w:r>
              <w:t>.3.2.1-1: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rPr>
                      <w:highlight w:val="yellow"/>
                      <w:lang w:eastAsia="zh-CN"/>
                    </w:rPr>
                    <w:t>K_satellite</w:t>
                  </w:r>
                  <w:r>
                    <w:rPr>
                      <w:lang w:eastAsia="zh-CN"/>
                    </w:rPr>
                    <w:t xml:space="preserve"> * MAX (680 ms, </w:t>
                  </w:r>
                  <w:r>
                    <w:rPr>
                      <w:highlight w:val="yellow"/>
                      <w:lang w:eastAsia="zh-CN"/>
                    </w:rPr>
                    <w:t>11</w:t>
                  </w:r>
                  <w:r>
                    <w:rPr>
                      <w:lang w:eastAsia="zh-CN"/>
                    </w:rPr>
                    <w:t xml:space="preserve"> x T</w:t>
                  </w:r>
                  <w:r>
                    <w:rPr>
                      <w:vertAlign w:val="subscript"/>
                      <w:lang w:eastAsia="zh-CN"/>
                    </w:rPr>
                    <w:t>rs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60"/>
                    <w:rPr>
                      <w:szCs w:val="18"/>
                      <w:lang w:eastAsia="ko-KR"/>
                    </w:rPr>
                  </w:pPr>
                  <w:r>
                    <w:rPr>
                      <w:lang w:eastAsia="ko-KR"/>
                    </w:rPr>
                    <w:t>Note 2:</w:t>
                  </w:r>
                  <w:r>
                    <w:tab/>
                  </w:r>
                  <w:r>
                    <w:rPr>
                      <w:lang w:eastAsia="zh-CN"/>
                    </w:rPr>
                    <w:t>K_satellite</w:t>
                  </w:r>
                  <w:r>
                    <w:t xml:space="preserve"> </w:t>
                  </w:r>
                  <w:r>
                    <w:rPr>
                      <w:lang w:eastAsia="ko-KR"/>
                    </w:rPr>
                    <w:t>is defined in clause 9.3C.4.</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Actually, the same principle for RRC re-establishment can be considered when defining the requirements for RedCap UEs in NTN.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12: For 2Rx UE in NTN, the time to identify target NR cell for RRC connection release with redirection to NR  in legacy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13: For 1Rx UE in NTN, the time to identify target NR cell for RRC connection release with redirection to NR  in legacy NTN shall be the baseline and one measurement sample shall be increased.</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Random Access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random access, RAN4 mainly focus on 4-step and 2-step RA step with contention-based and non-contention based random access. Based on the analysis, we find that: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lang w:eastAsia="sv-SE"/>
              </w:rPr>
            </w:pPr>
            <w:r>
              <w:rPr>
                <w:lang w:eastAsia="sv-SE"/>
              </w:rPr>
              <w:t>The 1 Rx RedCap UE for performing the random access procedure defined in clause 5.1 [7] applies:</w:t>
            </w:r>
          </w:p>
          <w:p>
            <w:pPr>
              <w:pStyle w:val="53"/>
              <w:rPr>
                <w:rFonts w:cs="v4.2.0"/>
              </w:rPr>
            </w:pPr>
            <w:r>
              <w:rPr>
                <w:iCs/>
              </w:rPr>
              <w:t>-</w:t>
            </w:r>
            <w:r>
              <w:rPr>
                <w:iCs/>
              </w:rPr>
              <w:tab/>
            </w:r>
            <w:r>
              <w:rPr>
                <w:iCs/>
              </w:rPr>
              <w:t>rsrp-ThresholdSSB</w:t>
            </w:r>
            <w:r>
              <w:t xml:space="preserve"> </w:t>
            </w:r>
            <w:r>
              <w:rPr>
                <w:lang w:eastAsia="sv-SE"/>
              </w:rPr>
              <w:t xml:space="preserve">as the signaled value of </w:t>
            </w:r>
            <w:r>
              <w:rPr>
                <w:iCs/>
              </w:rPr>
              <w:t>rsrp-ThresholdSSB</w:t>
            </w:r>
            <w:r>
              <w:t xml:space="preserve"> </w:t>
            </w:r>
            <w:r>
              <w:rPr>
                <w:lang w:eastAsia="sv-SE"/>
              </w:rPr>
              <w:t>[2] + 1 dB.</w:t>
            </w:r>
          </w:p>
          <w:p>
            <w:pPr>
              <w:pStyle w:val="53"/>
              <w:rPr>
                <w:rFonts w:cs="v4.2.0"/>
              </w:rPr>
            </w:pPr>
            <w:r>
              <w:rPr>
                <w:iCs/>
              </w:rPr>
              <w:t>-</w:t>
            </w:r>
            <w:r>
              <w:rPr>
                <w:iCs/>
              </w:rPr>
              <w:tab/>
            </w:r>
            <w:r>
              <w:rPr>
                <w:iCs/>
              </w:rPr>
              <w:t xml:space="preserve">msgA-RSRP-ThresholdSSB </w:t>
            </w:r>
            <w:r>
              <w:rPr>
                <w:lang w:eastAsia="sv-SE"/>
              </w:rPr>
              <w:t xml:space="preserve">as the signaled value of </w:t>
            </w:r>
            <w:r>
              <w:rPr>
                <w:iCs/>
              </w:rPr>
              <w:t>msgA-RSRP-ThresholdSSB</w:t>
            </w:r>
            <w:r>
              <w:t xml:space="preserve"> </w:t>
            </w:r>
            <w:r>
              <w:rPr>
                <w:lang w:eastAsia="sv-SE"/>
              </w:rPr>
              <w:t>[2] + 1 dB.</w:t>
            </w:r>
          </w:p>
          <w:p>
            <w:pPr>
              <w:pStyle w:val="53"/>
              <w:rPr>
                <w:lang w:eastAsia="sv-SE"/>
              </w:rPr>
            </w:pPr>
            <w:r>
              <w:t>-</w:t>
            </w:r>
            <w:r>
              <w:tab/>
            </w:r>
            <w:r>
              <w:rPr>
                <w:iCs/>
              </w:rPr>
              <w:t>msgA-RSRP-Threshold</w:t>
            </w:r>
            <w:r>
              <w:t xml:space="preserve"> </w:t>
            </w:r>
            <w:r>
              <w:rPr>
                <w:lang w:eastAsia="sv-SE"/>
              </w:rPr>
              <w:t xml:space="preserve">as the signaled value of </w:t>
            </w:r>
            <w:r>
              <w:t xml:space="preserve">msgA-RSRP-Threshold </w:t>
            </w:r>
            <w:r>
              <w:rPr>
                <w:lang w:eastAsia="sv-SE"/>
              </w:rPr>
              <w:t>[2] + 1 dB.</w:t>
            </w:r>
          </w:p>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r>
              <w:t>-</w:t>
            </w:r>
            <w:r>
              <w:tab/>
            </w:r>
            <w:r>
              <w:rPr>
                <w:iCs/>
              </w:rPr>
              <w:t>rsrp-ThresholdMsg3</w:t>
            </w:r>
            <w:r>
              <w:t xml:space="preserve"> </w:t>
            </w:r>
            <w:r>
              <w:rPr>
                <w:lang w:eastAsia="sv-SE"/>
              </w:rPr>
              <w:t xml:space="preserve">as the signaled value of </w:t>
            </w:r>
            <w:r>
              <w:rPr>
                <w:iCs/>
              </w:rPr>
              <w:t>rsrp-ThresholdMsg3</w:t>
            </w:r>
            <w:r>
              <w:t xml:space="preserve"> </w:t>
            </w:r>
            <w:r>
              <w:rPr>
                <w:lang w:eastAsia="sv-SE"/>
              </w:rPr>
              <w:t>[2] - 1 dB.</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know that the requirements on RA for 1Rx RedCap UE is the same as 2Rx RedCap UEs or legacy normal UE. However, the conditions for performing the random access procedure are different. To my understanding, the legacy requirements in NR NTN shall be reused for 1Rx and  2Rx UE in NTN, the conditions for performing the random access procedure for 1Rx in legacy RedCap TN shall be used for 1Rx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14: The legacy requirements in NR NTN shall be reused for 1Rx and  2Rx UE in NTN, the conditions for performing the random access procedure for 1Rx in legacy RedCap TN shall be used for 1Rx UE in NTN.</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2.1.2.1.1.3 Timing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timing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Te, UE transmit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Gradual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Timing advance adjustment accuracy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Timing advance adjustment delay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R17, RAN4 mainly focused on the timing related issues because of the special NTN scenario, such as long propagation delay and frequency error etc. And UE TA pre-compensation has been discussed. However, the RedCap UE timing reused legacy timing requirements whatever the Te or TA adjustment delay or accuracy in RedCap WI. Thus, we deem that the timing requirements for redcap UE in NTN shall reuse the legacy timing requirements defined in NTN since the timing requirements for NTN is impacted by the time difference and the Doppler shift instead of the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15: The legacy NR NTN timing requirements shall be resued when considering to define the requirements on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2.1.2.1.1.4 Signalling characteristics</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Radio Link Monitoring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RLM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ascii="Times New Roman" w:hAnsi="Times New Roman" w:cs="Times New Roman"/>
                <w:lang w:val="en-GB"/>
              </w:rPr>
            </w:pPr>
            <w:r>
              <w:rPr>
                <w:rFonts w:ascii="Times New Roman" w:hAnsi="Times New Roman" w:cs="Times New Roman"/>
                <w:lang w:val="en-GB"/>
              </w:rPr>
              <w:t>Radio link monitoring (RLM)</w:t>
            </w:r>
          </w:p>
        </w:tc>
        <w:tc>
          <w:tcPr>
            <w:tcW w:w="3623" w:type="dxa"/>
          </w:tcPr>
          <w:p>
            <w:pPr>
              <w:rPr>
                <w:rFonts w:ascii="Times New Roman" w:hAnsi="Times New Roman" w:cs="Times New Roman"/>
                <w:lang w:val="en-GB"/>
              </w:rPr>
            </w:pPr>
            <w:r>
              <w:rPr>
                <w:rFonts w:hint="eastAsia" w:eastAsia="宋体" w:cs="Times New Roman"/>
                <w:vertAlign w:val="baseline"/>
                <w:lang w:val="en-US" w:eastAsia="zh-CN"/>
              </w:rPr>
              <w:t>Evaluation period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RLM, the configured RLM-RSs can be all SSBs, or all CSI-RSs, or a mix of SSBs and CSI-RSs. The configured RLM-RSs can be from the same or different TRPs. UE is not required to perform RLM outside the active DL active BWP in general. We shall focus on minimum requirement, UE shall be able to evaluate whether the downlink radio link quality on the configured RLM-RS resource estimated over the last TEvaluate_out_SSB [ms] period becomes worse than the threshold Qout_SSB within TEvaluate_out_SSB [ms] evaluation period.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the evaluation period, the legacy requirements for normal UE in FR1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5"/>
              <w:rPr>
                <w:rFonts w:ascii="Times New Roman" w:hAnsi="Times New Roman"/>
              </w:rPr>
            </w:pPr>
            <w:r>
              <w:rPr>
                <w:rFonts w:ascii="Times New Roman" w:hAnsi="Times New Roman"/>
              </w:rPr>
              <w:t>Table 8.1C.2.2-1: Evaluation period T</w:t>
            </w:r>
            <w:r>
              <w:rPr>
                <w:rFonts w:ascii="Times New Roman" w:hAnsi="Times New Roman"/>
                <w:vertAlign w:val="subscript"/>
              </w:rPr>
              <w:t>Evaluate_out_SSB</w:t>
            </w:r>
            <w:r>
              <w:rPr>
                <w:rFonts w:ascii="Times New Roman" w:hAnsi="Times New Roman"/>
              </w:rPr>
              <w:t xml:space="preserve"> and T</w:t>
            </w:r>
            <w:r>
              <w:rPr>
                <w:rFonts w:ascii="Times New Roman" w:hAnsi="Times New Roman"/>
                <w:vertAlign w:val="subscript"/>
              </w:rPr>
              <w:t>Evaluate_in_SSB</w:t>
            </w:r>
            <w:r>
              <w:rPr>
                <w:rFonts w:ascii="Times New Roman" w:hAnsi="Times New Roman"/>
              </w:rP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3040"/>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Max(200, Ceil(15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UE , the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5"/>
              <w:rPr>
                <w:rFonts w:ascii="Times New Roman" w:hAnsi="Times New Roman"/>
              </w:rPr>
            </w:pPr>
            <w:r>
              <w:rPr>
                <w:rFonts w:ascii="Times New Roman" w:hAnsi="Times New Roman"/>
              </w:rPr>
              <w:t>Table 8.1B.2.2-1: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2Rx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Max(</w:t>
                  </w:r>
                  <w:r>
                    <w:rPr>
                      <w:rFonts w:ascii="Times New Roman" w:hAnsi="Times New Roman"/>
                      <w:highlight w:val="yellow"/>
                      <w:lang w:val="fr-FR"/>
                    </w:rPr>
                    <w:t>200</w:t>
                  </w:r>
                  <w:r>
                    <w:rPr>
                      <w:rFonts w:ascii="Times New Roman" w:hAnsi="Times New Roman"/>
                      <w:lang w:val="fr-FR"/>
                    </w:rPr>
                    <w:t xml:space="preserve">, Ceil(15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pStyle w:val="55"/>
              <w:rPr>
                <w:rFonts w:ascii="Times New Roman" w:hAnsi="Times New Roman"/>
              </w:rPr>
            </w:pPr>
            <w:r>
              <w:rPr>
                <w:rFonts w:ascii="Times New Roman" w:hAnsi="Times New Roman"/>
              </w:rPr>
              <w:t>Table 8.1B.2.2-3: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1Rx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400,</w:t>
                  </w:r>
                  <w:r>
                    <w:rPr>
                      <w:rFonts w:ascii="Times New Roman" w:hAnsi="Times New Roman"/>
                    </w:rPr>
                    <w:t xml:space="preserve"> 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Max(400, Ceil(30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Next/>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NR NTN, the minimum requirements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5"/>
            </w:pPr>
            <w:r>
              <w:t>Table 8.1C.2.2-1: Evaluation period T</w:t>
            </w:r>
            <w:r>
              <w:rPr>
                <w:vertAlign w:val="subscript"/>
              </w:rPr>
              <w:t>Evaluate_out_SSB</w:t>
            </w:r>
            <w:r>
              <w:t xml:space="preserve"> and T</w:t>
            </w:r>
            <w:r>
              <w:rPr>
                <w:vertAlign w:val="subscript"/>
              </w:rPr>
              <w:t>Evaluate_in_SSB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pPr>
                  <w:r>
                    <w:t>Configuration</w:t>
                  </w:r>
                </w:p>
              </w:tc>
              <w:tc>
                <w:tcPr>
                  <w:tcW w:w="3260" w:type="dxa"/>
                  <w:shd w:val="clear" w:color="auto" w:fill="auto"/>
                </w:tcPr>
                <w:p>
                  <w:pPr>
                    <w:pStyle w:val="46"/>
                  </w:pPr>
                  <w:r>
                    <w:t>T</w:t>
                  </w:r>
                  <w:r>
                    <w:rPr>
                      <w:vertAlign w:val="subscript"/>
                    </w:rPr>
                    <w:t>Evaluate_out_SSB</w:t>
                  </w:r>
                  <w:r>
                    <w:t xml:space="preserve"> (ms) </w:t>
                  </w:r>
                </w:p>
              </w:tc>
              <w:tc>
                <w:tcPr>
                  <w:tcW w:w="3309" w:type="dxa"/>
                  <w:shd w:val="clear" w:color="auto" w:fill="auto"/>
                </w:tcPr>
                <w:p>
                  <w:pPr>
                    <w:pStyle w:val="46"/>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no DRX</w:t>
                  </w:r>
                </w:p>
              </w:tc>
              <w:tc>
                <w:tcPr>
                  <w:tcW w:w="3260" w:type="dxa"/>
                  <w:shd w:val="clear" w:color="auto" w:fill="auto"/>
                </w:tcPr>
                <w:p>
                  <w:pPr>
                    <w:pStyle w:val="47"/>
                  </w:pPr>
                  <w:r>
                    <w:t>Max(</w:t>
                  </w:r>
                  <w:r>
                    <w:rPr>
                      <w:highlight w:val="yellow"/>
                    </w:rPr>
                    <w:t>200</w:t>
                  </w:r>
                  <w:r>
                    <w:t xml:space="preserve">, 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c>
                <w:tcPr>
                  <w:tcW w:w="3309" w:type="dxa"/>
                  <w:shd w:val="clear" w:color="auto" w:fill="auto"/>
                </w:tcPr>
                <w:p>
                  <w:pPr>
                    <w:pStyle w:val="47"/>
                  </w:pPr>
                  <w:r>
                    <w:t xml:space="preserve">Max(100, 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w:t>
                  </w:r>
                  <w:r>
                    <w:rPr>
                      <w:rFonts w:hint="eastAsia"/>
                    </w:rPr>
                    <w:t>≤</w:t>
                  </w:r>
                  <w:r>
                    <w:t>320</w:t>
                  </w:r>
                  <w:r>
                    <w:rPr>
                      <w:rFonts w:hint="eastAsia"/>
                      <w:lang w:val="en-US" w:eastAsia="zh-CN"/>
                    </w:rPr>
                    <w:t>ms</w:t>
                  </w:r>
                </w:p>
              </w:tc>
              <w:tc>
                <w:tcPr>
                  <w:tcW w:w="3260" w:type="dxa"/>
                  <w:shd w:val="clear" w:color="auto" w:fill="auto"/>
                </w:tcPr>
                <w:p>
                  <w:pPr>
                    <w:pStyle w:val="47"/>
                    <w:rPr>
                      <w:lang w:val="fr-FR"/>
                    </w:rPr>
                  </w:pPr>
                  <w:r>
                    <w:rPr>
                      <w:lang w:val="fr-FR"/>
                    </w:rPr>
                    <w:t xml:space="preserve">Max(200, Ceil(15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47"/>
                    <w:rPr>
                      <w:lang w:val="fr-FR"/>
                    </w:rPr>
                  </w:pPr>
                  <w:r>
                    <w:rPr>
                      <w:lang w:val="fr-FR"/>
                    </w:rPr>
                    <w:t xml:space="preserve">Max(100, Ceil(7.5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cycle&gt;320</w:t>
                  </w:r>
                  <w:r>
                    <w:rPr>
                      <w:rFonts w:hint="eastAsia"/>
                      <w:lang w:val="en-US" w:eastAsia="zh-CN"/>
                    </w:rPr>
                    <w:t>ms</w:t>
                  </w:r>
                </w:p>
              </w:tc>
              <w:tc>
                <w:tcPr>
                  <w:tcW w:w="3260" w:type="dxa"/>
                  <w:shd w:val="clear" w:color="auto" w:fill="auto"/>
                </w:tcPr>
                <w:p>
                  <w:pPr>
                    <w:pStyle w:val="47"/>
                  </w:pPr>
                  <w:r>
                    <w:t xml:space="preserve">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c>
                <w:tcPr>
                  <w:tcW w:w="3309" w:type="dxa"/>
                  <w:shd w:val="clear" w:color="auto" w:fill="auto"/>
                </w:tcPr>
                <w:p>
                  <w:pPr>
                    <w:pStyle w:val="47"/>
                  </w:pPr>
                  <w:r>
                    <w:t xml:space="preserve">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We find that the legacy evaluation period for FR1in NTN is the same as the legacy TN in FR1.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in RedCap WI there is a agreement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0" w:type="dxa"/>
          </w:tcPr>
          <w:p>
            <w:pPr>
              <w:rPr>
                <w:b/>
                <w:bCs/>
                <w:color w:val="auto"/>
                <w:u w:val="single"/>
                <w:lang w:val="en-US"/>
              </w:rPr>
            </w:pPr>
            <w:r>
              <w:rPr>
                <w:b/>
                <w:bCs/>
                <w:color w:val="auto"/>
                <w:u w:val="single"/>
                <w:lang w:val="en-US"/>
              </w:rPr>
              <w:t>SSB-based RLM : evaluation period for Qout</w:t>
            </w:r>
          </w:p>
          <w:p>
            <w:pPr>
              <w:pStyle w:val="74"/>
              <w:numPr>
                <w:ilvl w:val="1"/>
                <w:numId w:val="5"/>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Qout for RedCap UE with 2 Rx.</w:t>
            </w:r>
          </w:p>
          <w:p>
            <w:pPr>
              <w:rPr>
                <w:b/>
                <w:bCs/>
                <w:color w:val="auto"/>
                <w:u w:val="single"/>
                <w:lang w:val="en-US"/>
              </w:rPr>
            </w:pPr>
            <w:r>
              <w:rPr>
                <w:b/>
                <w:bCs/>
                <w:color w:val="auto"/>
                <w:u w:val="single"/>
                <w:lang w:val="en-US"/>
              </w:rPr>
              <w:t>SSB-based RLM : evaluation period for Qin</w:t>
            </w:r>
          </w:p>
          <w:p>
            <w:pPr>
              <w:pStyle w:val="74"/>
              <w:numPr>
                <w:ilvl w:val="1"/>
                <w:numId w:val="5"/>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Qin for RedCap UE with 2 Rx.</w:t>
            </w:r>
          </w:p>
          <w:p>
            <w:pPr>
              <w:rPr>
                <w:color w:val="auto"/>
                <w:lang w:eastAsia="zh-CN"/>
              </w:rPr>
            </w:pPr>
            <w:r>
              <w:rPr>
                <w:b/>
                <w:color w:val="auto"/>
                <w:u w:val="single"/>
                <w:lang w:eastAsia="ko-KR"/>
              </w:rPr>
              <w:t>SSB-based RLM : evaluation period for Qout and Qin</w:t>
            </w:r>
          </w:p>
          <w:p>
            <w:pPr>
              <w:pStyle w:val="74"/>
              <w:numPr>
                <w:ilvl w:val="2"/>
                <w:numId w:val="5"/>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 xml:space="preserve">Double the evaluation period for Qout </w:t>
            </w:r>
          </w:p>
          <w:p>
            <w:pPr>
              <w:pStyle w:val="74"/>
              <w:numPr>
                <w:ilvl w:val="2"/>
                <w:numId w:val="5"/>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keep the legacy evaluation period for Qin</w:t>
            </w:r>
          </w:p>
          <w:p>
            <w:pPr>
              <w:rPr>
                <w:b/>
                <w:bCs/>
                <w:color w:val="auto"/>
                <w:u w:val="single"/>
                <w:lang w:val="en-US"/>
              </w:rPr>
            </w:pPr>
            <w:r>
              <w:rPr>
                <w:b/>
                <w:bCs/>
                <w:color w:val="auto"/>
                <w:u w:val="single"/>
                <w:lang w:val="en-US"/>
              </w:rPr>
              <w:t>CSI-RS-based RLM : evaluation period for Qout</w:t>
            </w:r>
          </w:p>
          <w:p>
            <w:pPr>
              <w:pStyle w:val="74"/>
              <w:numPr>
                <w:ilvl w:val="1"/>
                <w:numId w:val="5"/>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Qout for RedCap UE with 2 Rx.</w:t>
            </w:r>
          </w:p>
          <w:p>
            <w:pPr>
              <w:rPr>
                <w:b/>
                <w:bCs/>
                <w:color w:val="auto"/>
                <w:u w:val="single"/>
                <w:lang w:val="en-US"/>
              </w:rPr>
            </w:pPr>
            <w:r>
              <w:rPr>
                <w:b/>
                <w:bCs/>
                <w:color w:val="auto"/>
                <w:u w:val="single"/>
                <w:lang w:val="en-US"/>
              </w:rPr>
              <w:t>CSI-RS-based RLM : evaluation period for Qin</w:t>
            </w:r>
          </w:p>
          <w:p>
            <w:pPr>
              <w:pStyle w:val="74"/>
              <w:numPr>
                <w:ilvl w:val="1"/>
                <w:numId w:val="5"/>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Qin for RedCap UE with 2 Rx.</w:t>
            </w:r>
          </w:p>
          <w:p>
            <w:pPr>
              <w:rPr>
                <w:b/>
                <w:color w:val="auto"/>
                <w:u w:val="single"/>
                <w:lang w:eastAsia="ko-KR"/>
              </w:rPr>
            </w:pPr>
            <w:r>
              <w:rPr>
                <w:b/>
                <w:color w:val="auto"/>
                <w:u w:val="single"/>
                <w:lang w:eastAsia="ko-KR"/>
              </w:rPr>
              <w:t>CSI-RS-based RLM : evaluation period for Qout and Qin</w:t>
            </w:r>
          </w:p>
          <w:p>
            <w:pPr>
              <w:rPr>
                <w:iCs/>
                <w:color w:val="000000" w:themeColor="text1"/>
                <w:lang w:eastAsia="zh-CN"/>
                <w14:textFill>
                  <w14:solidFill>
                    <w14:schemeClr w14:val="tx1"/>
                  </w14:solidFill>
                </w14:textFill>
              </w:rPr>
            </w:pPr>
            <w:r>
              <w:rPr>
                <w:iCs/>
                <w:color w:val="auto"/>
                <w:highlight w:val="green"/>
                <w:lang w:eastAsia="zh-CN"/>
              </w:rPr>
              <w:t>Follow the agreement from corresponding issue for SSB-based RLM evaluation period.</w:t>
            </w:r>
            <w:r>
              <w:rPr>
                <w:iCs/>
                <w:color w:val="000000" w:themeColor="text1"/>
                <w:lang w:eastAsia="zh-CN"/>
                <w14:textFill>
                  <w14:solidFill>
                    <w14:schemeClr w14:val="tx1"/>
                  </w14:solidFill>
                </w14:textFill>
              </w:rPr>
              <w:t xml:space="preserve"> </w:t>
            </w:r>
          </w:p>
          <w:p>
            <w:pPr>
              <w:spacing w:after="120"/>
              <w:rPr>
                <w:b/>
                <w:color w:val="auto"/>
                <w:u w:val="single"/>
                <w:lang w:eastAsia="ko-KR"/>
              </w:rPr>
            </w:pPr>
            <w:r>
              <w:rPr>
                <w:b/>
                <w:color w:val="auto"/>
                <w:u w:val="single"/>
                <w:lang w:eastAsia="ko-KR"/>
              </w:rPr>
              <w:t xml:space="preserve">Whether to extend the lower bound in RLM evaluation period: </w:t>
            </w:r>
          </w:p>
          <w:p>
            <w:pPr>
              <w:pStyle w:val="74"/>
              <w:numPr>
                <w:ilvl w:val="0"/>
                <w:numId w:val="13"/>
              </w:numPr>
              <w:spacing w:after="120"/>
              <w:ind w:firstLineChars="0"/>
              <w:rPr>
                <w:rFonts w:ascii="Times New Roman" w:hAnsi="Times New Roman" w:cs="Times New Roman" w:eastAsiaTheme="minorEastAsia"/>
                <w:iCs/>
                <w:color w:val="auto"/>
                <w:highlight w:val="green"/>
                <w:lang w:eastAsia="zh-CN"/>
              </w:rPr>
            </w:pPr>
            <w:r>
              <w:rPr>
                <w:rFonts w:ascii="Times New Roman" w:hAnsi="Times New Roman" w:cs="Times New Roman" w:eastAsiaTheme="minorEastAsia"/>
                <w:iCs/>
                <w:color w:val="auto"/>
                <w:highlight w:val="green"/>
                <w:lang w:eastAsia="zh-CN"/>
              </w:rPr>
              <w:t>lower bound in RLM evaluation period is extended.</w:t>
            </w:r>
          </w:p>
          <w:p>
            <w:pPr>
              <w:tabs>
                <w:tab w:val="left" w:pos="553"/>
              </w:tabs>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 xml:space="preserve">Qout </w:t>
            </w:r>
            <w:r>
              <w:rPr>
                <w:bCs/>
                <w:highlight w:val="green"/>
                <w:lang w:eastAsia="ko-KR"/>
              </w:rPr>
              <w:t xml:space="preserve">evaluation period for FR1 is extended by </w:t>
            </w:r>
            <w:r>
              <w:rPr>
                <w:bCs/>
                <w:color w:val="0000FF"/>
                <w:highlight w:val="green"/>
                <w:lang w:eastAsia="ko-KR"/>
              </w:rPr>
              <w:t xml:space="preserve">factor 2. </w:t>
            </w:r>
          </w:p>
          <w:p>
            <w:pPr>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Qin</w:t>
            </w:r>
            <w:r>
              <w:rPr>
                <w:bCs/>
                <w:highlight w:val="green"/>
                <w:lang w:eastAsia="ko-KR"/>
              </w:rPr>
              <w:t xml:space="preserve"> evaluation period for FR1 is</w:t>
            </w:r>
            <w:r>
              <w:rPr>
                <w:bCs/>
                <w:color w:val="0000FF"/>
                <w:highlight w:val="green"/>
                <w:lang w:eastAsia="ko-KR"/>
              </w:rPr>
              <w:t xml:space="preserve"> not extended. </w:t>
            </w:r>
          </w:p>
          <w:p>
            <w:pPr>
              <w:pStyle w:val="74"/>
              <w:numPr>
                <w:ilvl w:val="-1"/>
                <w:numId w:val="0"/>
              </w:numPr>
              <w:spacing w:after="120"/>
              <w:ind w:left="0" w:firstLine="0" w:firstLineChars="0"/>
              <w:rPr>
                <w:rFonts w:ascii="Times New Roman" w:hAnsi="Times New Roman" w:eastAsia="宋体" w:cs="Times New Roman"/>
                <w:highlight w:val="gree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RedCap WI, it also discussed the SSB based and CSI-RS RLM requirements about two evaluation period for 1Rx and 2Rx. For 2Rx, the evaluation period is not extended whatever evaluation period for Qout or Qin. For 1Rx, RAN4 doubles the evaluation period for Qout and keep the legacy evaluation period for Qin. We can also find this with highlight in the table above. Thus, when considering defining the RLM requirements for RedCap UE in NTN scenario, we shall also keep the evaluation period as legacy for 2Rx and the lower bound shall be extended for 1Rx. To my understanding, the extended factor can be reuse the legacy factor which is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RAN4 shall define the Qout requirements for RedCap UEs in FR1-NTN bands. The evaluation period for 2Rx shall be reused and the evaluation period shall be extended for 1Rx by factor 2. Also, Qin shall be reused.</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Link Recovery Procedures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BFD/CBD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Link Recovery Procedures</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Evaluation period for BFD and CBD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Same as the analysis of RLM, RAN4 has already analyzed requirements of SSB-based and CSI-based BFD/CBD, we can see the concrete legacy SSB-based BFD/CBD requirements as below (SSB-based can be an example):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8.5B.2.2-1: Evaluation period T</w:t>
            </w:r>
            <w:r>
              <w:rPr>
                <w:vertAlign w:val="subscript"/>
              </w:rPr>
              <w:t>Evaluate_BFD_SSB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3475"/>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3475"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Redcap UE with 2 Rx</w:t>
                  </w:r>
                </w:p>
              </w:tc>
              <w:tc>
                <w:tcPr>
                  <w:tcW w:w="3016"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1 Rx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no DRX</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Max(50, 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Max(50,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3475"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Max(50, Ceil(</w:t>
                  </w:r>
                  <w:r>
                    <w:rPr>
                      <w:rFonts w:cs="v4.2.0"/>
                      <w:highlight w:val="yellow"/>
                      <w:lang w:val="fr-FR"/>
                    </w:rPr>
                    <w:t>7.5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lang w:val="fr-FR"/>
                    </w:rPr>
                  </w:pPr>
                  <w:r>
                    <w:rPr>
                      <w:rFonts w:cs="v4.2.0"/>
                      <w:lang w:val="fr-FR"/>
                    </w:rPr>
                    <w:t>[ Max(50, Ceil(</w:t>
                  </w:r>
                  <w:r>
                    <w:rPr>
                      <w:rFonts w:cs="v4.2.0"/>
                      <w:highlight w:val="yellow"/>
                      <w:lang w:val="fr-FR"/>
                    </w:rPr>
                    <w:t>15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3"/>
                  <w:tcBorders>
                    <w:top w:val="single" w:color="auto" w:sz="4" w:space="0"/>
                    <w:left w:val="single" w:color="auto" w:sz="4" w:space="0"/>
                    <w:bottom w:val="single" w:color="auto" w:sz="4" w:space="0"/>
                    <w:right w:val="single" w:color="auto" w:sz="4" w:space="0"/>
                  </w:tcBorders>
                </w:tcPr>
                <w:p>
                  <w:pPr>
                    <w:pStyle w:val="60"/>
                  </w:pPr>
                  <w:r>
                    <w:t>Note:</w:t>
                  </w:r>
                  <w:r>
                    <w:rPr>
                      <w:rFonts w:cs="v4.2.0" w:eastAsiaTheme="minorEastAsia"/>
                      <w:lang w:val="en-US"/>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8.5B.5.2-1: Evaluation period T</w:t>
            </w:r>
            <w:r>
              <w:rPr>
                <w:vertAlign w:val="subscript"/>
              </w:rPr>
              <w:t>Evaluate_CBD_SSB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cs="v4.2.0"/>
                      <w:vertAlign w:val="subscript"/>
                    </w:rPr>
                    <w:t>_Redcap</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rPr>
                      <w:rFonts w:cs="v4.2.0" w:eastAsiaTheme="minorEastAsia"/>
                      <w:lang w:val="en-US"/>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pic:cNvPicPr>
                                  <a:picLocks noChangeAspect="1" noChangeArrowheads="1"/>
                                </pic:cNvPicPr>
                              </pic:nvPicPr>
                              <pic:blipFill>
                                <a:blip r:embed="rId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NTN: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8.5C.2.2-1: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ascii="Symbol" w:hAnsi="Symbol" w:eastAsia="Symbol" w:cs="Symbol"/>
                      <w:szCs w:val="18"/>
                    </w:rPr>
                    <w:t>´</w:t>
                  </w:r>
                  <w:r>
                    <w:rPr>
                      <w:rFonts w:cs="Arial"/>
                      <w:szCs w:val="18"/>
                      <w:lang w:val="fr-FR"/>
                    </w:rPr>
                    <w:t xml:space="preserve"> </w:t>
                  </w:r>
                  <w:r>
                    <w:rPr>
                      <w:rFonts w:cs="v4.2.0"/>
                      <w:lang w:val="fr-FR"/>
                    </w:rPr>
                    <w:t xml:space="preserve">P) </w:t>
                  </w:r>
                  <w:r>
                    <w:rPr>
                      <w:rFonts w:ascii="Symbol" w:hAnsi="Symbol" w:eastAsia="Symbol" w:cs="Symbol"/>
                      <w:szCs w:val="18"/>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0"/>
                    <w:rPr>
                      <w:rFonts w:cs="v4.2.0"/>
                    </w:rPr>
                  </w:pPr>
                  <w:r>
                    <w:t>Note:</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8.5C.5.2-1: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ascii="Symbol" w:hAnsi="Symbol" w:eastAsia="Symbol" w:cs="Symbol"/>
                      <w:szCs w:val="18"/>
                      <w:lang w:val="fr-FR"/>
                    </w:rPr>
                    <w:t>´</w:t>
                  </w:r>
                  <w:r>
                    <w:rPr>
                      <w:rFonts w:cs="Arial"/>
                      <w:szCs w:val="18"/>
                      <w:lang w:val="fr-FR"/>
                    </w:rPr>
                    <w:t xml:space="preserve"> </w:t>
                  </w:r>
                  <w:r>
                    <w:rPr>
                      <w:lang w:val="fr-FR"/>
                    </w:rPr>
                    <w:t xml:space="preserve">P </w:t>
                  </w:r>
                  <w:r>
                    <w:rPr>
                      <w:rFonts w:ascii="Symbol" w:hAnsi="Symbol" w:eastAsia="Symbol" w:cs="Symbol"/>
                      <w:szCs w:val="18"/>
                      <w:lang w:val="fr-FR"/>
                    </w:rPr>
                    <w:t>´</w:t>
                  </w:r>
                  <w:r>
                    <w:rPr>
                      <w:lang w:val="fr-FR"/>
                    </w:rPr>
                    <w:t xml:space="preserve"> P</w:t>
                  </w:r>
                  <w:r>
                    <w:rPr>
                      <w:vertAlign w:val="subscript"/>
                      <w:lang w:val="fr-FR"/>
                    </w:rPr>
                    <w:t>CBD</w:t>
                  </w:r>
                  <w:r>
                    <w:rPr>
                      <w:lang w:val="fr-FR"/>
                    </w:rPr>
                    <w:t xml:space="preserve">) </w:t>
                  </w:r>
                  <w:r>
                    <w:rPr>
                      <w:rFonts w:ascii="Symbol" w:hAnsi="Symbol" w:eastAsia="Symbol" w:cs="Symbol"/>
                      <w:szCs w:val="18"/>
                      <w:lang w:val="fr-FR"/>
                    </w:rPr>
                    <w:t>´</w:t>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ascii="Symbol" w:hAnsi="Symbol" w:eastAsia="Symbol" w:cs="Symbol"/>
                      <w:szCs w:val="18"/>
                    </w:rPr>
                    <w:t>´</w:t>
                  </w:r>
                  <w:r>
                    <w:rPr>
                      <w:rFonts w:cs="Arial"/>
                      <w:szCs w:val="18"/>
                    </w:rPr>
                    <w:t xml:space="preserve"> </w:t>
                  </w:r>
                  <w:r>
                    <w:rPr>
                      <w:rFonts w:cs="v4.2.0"/>
                    </w:rPr>
                    <w:t>P</w:t>
                  </w:r>
                  <w:r>
                    <w:rPr>
                      <w:lang w:val="fr-FR"/>
                    </w:rPr>
                    <w:t xml:space="preserve"> </w:t>
                  </w:r>
                  <w:r>
                    <w:rPr>
                      <w:rFonts w:ascii="Symbol" w:hAnsi="Symbol" w:eastAsia="Symbol" w:cs="Symbol"/>
                      <w:szCs w:val="18"/>
                      <w:lang w:val="fr-FR"/>
                    </w:rPr>
                    <w:t>´</w:t>
                  </w:r>
                  <w:r>
                    <w:rPr>
                      <w:lang w:val="fr-FR"/>
                    </w:rPr>
                    <w:t xml:space="preserve"> P</w:t>
                  </w:r>
                  <w:r>
                    <w:rPr>
                      <w:vertAlign w:val="subscript"/>
                      <w:lang w:val="fr-FR"/>
                    </w:rPr>
                    <w:t>CBD</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05"/>
                                <pic:cNvPicPr>
                                  <a:picLocks noChangeAspect="1" noChangeArrowheads="1"/>
                                </pic:cNvPicPr>
                              </pic:nvPicPr>
                              <pic:blipFill>
                                <a:blip r:embed="rId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scaling factor is also 2 which is same as RLM for 1Rx UE BFD evaluation period. And the same BFD evaluation period for 2Rx UE as legacy. However,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BFD in legacy RedCap for 2Rx shall be reused and the evaluation period of BFD in legacy RedCap shall be extended for 1Rx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18: The evaluation period of CBD in legacy NTN shall be used without any change.</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eastAsia="宋体"/>
          <w:b w:val="0"/>
          <w:bCs w:val="0"/>
          <w:sz w:val="22"/>
          <w:lang w:val="en-US" w:eastAsia="zh-CN"/>
        </w:rPr>
        <w:t xml:space="preserve"> Active BWP switch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active BWP switching which applies for a UE configured with more than one BWP on PCell. RAN4 has already defined the related active BWP switching delay for RedCap UEs in TN and normal UEs in NTN. We know that there are three methods to perform the active BWP switching, which are DCI-based switch, timer-based switching and RRC-based switching. Different methods own different active BWP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what we need to do is that how to define the requirements for RedCap UEs in NTN scenario. We list the different legacy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UEs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DCI-based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 Y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w:t>
            </w:r>
          </w:p>
          <w:p>
            <w:pPr>
              <w:overflowPunct w:val="0"/>
              <w:autoSpaceDE w:val="0"/>
              <w:autoSpaceDN w:val="0"/>
              <w:adjustRightInd w:val="0"/>
              <w:spacing w:before="120" w:after="120" w:line="360" w:lineRule="auto"/>
              <w:jc w:val="both"/>
              <w:textAlignment w:val="baseline"/>
            </w:pPr>
            <w:r>
              <w:t>Table 8.6A.2-1: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eastAsia="zh-CN"/>
                    </w:rPr>
                    <w:drawing>
                      <wp:inline distT="0" distB="0" distL="0" distR="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0.125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6</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lang w:eastAsia="zh-CN"/>
              </w:rPr>
            </w:pPr>
            <w:r>
              <w:t xml:space="preserve">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 xml:space="preserve"> </w:t>
            </w:r>
            <w:r>
              <w:rPr>
                <w:lang w:eastAsia="zh-CN"/>
              </w:rPr>
              <w:t xml:space="preserve">slots which begins from </w:t>
            </w:r>
            <w:r>
              <w:t xml:space="preserve">the beginning of DL </w:t>
            </w:r>
            <w:r>
              <w:rPr>
                <w:lang w:eastAsia="zh-CN"/>
              </w:rPr>
              <w:t>slot n</w:t>
            </w:r>
          </w:p>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UEs in NTN:</w:t>
            </w:r>
          </w:p>
          <w:p>
            <w:pPr>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DCI-based BWP switching delay:</w:t>
            </w:r>
          </w:p>
          <w:p>
            <w:pPr>
              <w:overflowPunct w:val="0"/>
              <w:autoSpaceDE w:val="0"/>
              <w:autoSpaceDN w:val="0"/>
              <w:adjustRightInd w:val="0"/>
              <w:spacing w:before="120" w:after="120" w:line="360" w:lineRule="auto"/>
              <w:jc w:val="both"/>
              <w:textAlignment w:val="baseline"/>
            </w:pPr>
            <w:r>
              <w:rPr>
                <w:highlight w:val="none"/>
              </w:rPr>
              <w:t xml:space="preserve"> T</w:t>
            </w:r>
            <w:r>
              <w:rPr>
                <w:highlight w:val="none"/>
                <w:vertAlign w:val="subscript"/>
              </w:rPr>
              <w:t>BWPswitchDelay</w:t>
            </w:r>
            <w:r>
              <w:rPr>
                <w:highlight w:val="none"/>
              </w:rPr>
              <w:t xml:space="preserve"> + Y</w:t>
            </w:r>
            <w:r>
              <w:t xml:space="preserve">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highlight w:val="none"/>
              </w:rPr>
              <w:t>T</w:t>
            </w:r>
            <w:r>
              <w:rPr>
                <w:highlight w:val="none"/>
                <w:vertAlign w:val="subscript"/>
              </w:rPr>
              <w:t>BWPswitchDelay</w:t>
            </w:r>
          </w:p>
          <w:p>
            <w:pPr>
              <w:overflowPunct w:val="0"/>
              <w:autoSpaceDE w:val="0"/>
              <w:autoSpaceDN w:val="0"/>
              <w:adjustRightInd w:val="0"/>
              <w:spacing w:before="120" w:after="120" w:line="360" w:lineRule="auto"/>
              <w:jc w:val="both"/>
              <w:textAlignment w:val="baseline"/>
            </w:pPr>
            <w:r>
              <w:t>Table 8.6C.2-1: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val="en-US" w:eastAsia="zh-CN"/>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0</w:t>
                  </w:r>
                </w:p>
              </w:tc>
              <w:tc>
                <w:tcPr>
                  <w:tcW w:w="992" w:type="dxa"/>
                </w:tcPr>
                <w:p>
                  <w:pPr>
                    <w:overflowPunct w:val="0"/>
                    <w:autoSpaceDE w:val="0"/>
                    <w:autoSpaceDN w:val="0"/>
                    <w:adjustRightInd w:val="0"/>
                    <w:spacing w:before="120" w:after="120" w:line="360" w:lineRule="auto"/>
                    <w:jc w:val="both"/>
                    <w:textAlignment w:val="baseline"/>
                  </w:pPr>
                  <w:r>
                    <w:t>1</w:t>
                  </w:r>
                </w:p>
              </w:tc>
              <w:tc>
                <w:tcPr>
                  <w:tcW w:w="1969" w:type="dxa"/>
                  <w:shd w:val="clear" w:color="auto" w:fill="auto"/>
                </w:tcPr>
                <w:p>
                  <w:pPr>
                    <w:overflowPunct w:val="0"/>
                    <w:autoSpaceDE w:val="0"/>
                    <w:autoSpaceDN w:val="0"/>
                    <w:adjustRightInd w:val="0"/>
                    <w:spacing w:before="120" w:after="120" w:line="360" w:lineRule="auto"/>
                    <w:jc w:val="both"/>
                    <w:textAlignment w:val="baseline"/>
                  </w:pPr>
                  <w:r>
                    <w:t>1</w:t>
                  </w:r>
                </w:p>
              </w:tc>
              <w:tc>
                <w:tcPr>
                  <w:tcW w:w="1969" w:type="dxa"/>
                </w:tcPr>
                <w:p>
                  <w:pPr>
                    <w:overflowPunct w:val="0"/>
                    <w:autoSpaceDE w:val="0"/>
                    <w:autoSpaceDN w:val="0"/>
                    <w:adjustRightInd w:val="0"/>
                    <w:spacing w:before="120" w:after="120" w:line="360" w:lineRule="auto"/>
                    <w:jc w:val="both"/>
                    <w:textAlignment w:val="baseline"/>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1</w:t>
                  </w:r>
                </w:p>
              </w:tc>
              <w:tc>
                <w:tcPr>
                  <w:tcW w:w="992" w:type="dxa"/>
                </w:tcPr>
                <w:p>
                  <w:pPr>
                    <w:overflowPunct w:val="0"/>
                    <w:autoSpaceDE w:val="0"/>
                    <w:autoSpaceDN w:val="0"/>
                    <w:adjustRightInd w:val="0"/>
                    <w:spacing w:before="120" w:after="120" w:line="360" w:lineRule="auto"/>
                    <w:jc w:val="both"/>
                    <w:textAlignment w:val="baseline"/>
                  </w:pPr>
                  <w:r>
                    <w:t>0.5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2</w:t>
                  </w:r>
                </w:p>
              </w:tc>
              <w:tc>
                <w:tcPr>
                  <w:tcW w:w="1969" w:type="dxa"/>
                </w:tcPr>
                <w:p>
                  <w:pPr>
                    <w:overflowPunct w:val="0"/>
                    <w:autoSpaceDE w:val="0"/>
                    <w:autoSpaceDN w:val="0"/>
                    <w:adjustRightInd w:val="0"/>
                    <w:spacing w:before="120" w:after="120" w:line="360" w:lineRule="auto"/>
                    <w:jc w:val="both"/>
                    <w:textAlignment w:val="baseline"/>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2</w:t>
                  </w:r>
                </w:p>
              </w:tc>
              <w:tc>
                <w:tcPr>
                  <w:tcW w:w="992" w:type="dxa"/>
                </w:tcPr>
                <w:p>
                  <w:pPr>
                    <w:overflowPunct w:val="0"/>
                    <w:autoSpaceDE w:val="0"/>
                    <w:autoSpaceDN w:val="0"/>
                    <w:adjustRightInd w:val="0"/>
                    <w:spacing w:before="120" w:after="120" w:line="360" w:lineRule="auto"/>
                    <w:jc w:val="both"/>
                    <w:textAlignment w:val="baseline"/>
                  </w:pPr>
                  <w:r>
                    <w:t>0.25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3</w:t>
                  </w:r>
                </w:p>
              </w:tc>
              <w:tc>
                <w:tcPr>
                  <w:tcW w:w="1969" w:type="dxa"/>
                </w:tcPr>
                <w:p>
                  <w:pPr>
                    <w:overflowPunct w:val="0"/>
                    <w:autoSpaceDE w:val="0"/>
                    <w:autoSpaceDN w:val="0"/>
                    <w:adjustRightInd w:val="0"/>
                    <w:spacing w:before="120" w:after="120" w:line="360" w:lineRule="auto"/>
                    <w:jc w:val="both"/>
                    <w:textAlignment w:val="baseline"/>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rFonts w:hint="default" w:eastAsia="宋体"/>
                <w:lang w:val="en-US" w:eastAsia="zh-CN"/>
              </w:rPr>
            </w:pP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slots which begins from</w:t>
            </w:r>
            <w:r>
              <w:t xml:space="preserve"> the beginning of DL </w:t>
            </w:r>
            <w:r>
              <w:rPr>
                <w:lang w:val="en-US" w:eastAsia="zh-CN"/>
              </w:rPr>
              <w:t>slot 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We find that the active BWP switching delay will not be impacted by reduced UE receiving branches and only depends on UE capability or different NR slot length. For NTN scenario, the maximum slot length is 0.25ms refers to SCS=60kHz in FR1. For slot length is 0.125ms for RedCap UEs in TN, the SCS is 120kHz belongs to FR2 which is out of scope when we define the requirements for RedCap UEs in NTN scenario. To my understanding, legacy BWP switching delay requirements in NTN shall be reused for RedCap UEs in NTN scenario. By the way,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11: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19: Legacy BWP switching delay requirements in NTN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RAN4 shall only study active BWP switch delay on a single CC instead of multiple CCs since CA is not supported in NTN scenario.</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highlight w:val="none"/>
          <w:lang w:val="en-US" w:eastAsia="zh-CN"/>
        </w:rPr>
      </w:pPr>
      <w:r>
        <w:rPr>
          <w:rFonts w:hint="eastAsia" w:eastAsia="宋体"/>
          <w:b w:val="0"/>
          <w:bCs w:val="0"/>
          <w:sz w:val="22"/>
          <w:highlight w:val="none"/>
          <w:lang w:val="en-US" w:eastAsia="zh-CN"/>
        </w:rPr>
        <w:t xml:space="preserve"> Active TCI state switch delay and UE-specific CBW change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active TCI state switch delay and UE specific CBW change will not change due to the reduced UE receiving branches. Thus, we deem that the legacy NTN requirements shall be reused for RedCap UEs in NTN scenario when we considering to define the active TCI state switch delay and UE specific CBW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21:  For active TCI state switch delay and UE specific CBW change, RAN4 shall reuse the legacy NTN requirements for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2.1.2.1.1.5 Measurement Procedure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measurement related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tcPr>
          <w:p>
            <w:pPr>
              <w:rPr>
                <w:rFonts w:hint="default" w:ascii="Times New Roman" w:hAnsi="Times New Roman" w:eastAsia="宋体" w:cs="Times New Roman"/>
                <w:lang w:val="en-US" w:eastAsia="zh-CN"/>
              </w:rPr>
            </w:pPr>
            <w:r>
              <w:rPr>
                <w:rFonts w:hint="eastAsia" w:eastAsia="宋体" w:cs="Times New Roman"/>
                <w:lang w:val="en-US" w:eastAsia="zh-CN"/>
              </w:rPr>
              <w:t>Scenario</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Multiple SMTC</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Based on time and frequency difference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defining measurement requirements, we mainly focus on the intra-frequency and inter-frequency measurement especially for cell identification and measurement period. However, RAN4 shall clarify the basic scenario for redcap UE in NTN before studying the related requirements.</w:t>
      </w:r>
    </w:p>
    <w:p>
      <w:pPr>
        <w:overflowPunct w:val="0"/>
        <w:autoSpaceDE w:val="0"/>
        <w:autoSpaceDN w:val="0"/>
        <w:adjustRightInd w:val="0"/>
        <w:spacing w:before="120" w:after="120" w:line="360" w:lineRule="auto"/>
        <w:jc w:val="both"/>
        <w:textAlignment w:val="baseline"/>
        <w:rPr>
          <w:rFonts w:hint="default" w:eastAsia="宋体"/>
          <w:b/>
          <w:bCs/>
          <w:i/>
          <w:iCs/>
          <w:sz w:val="22"/>
          <w:u w:val="single"/>
          <w:lang w:val="en-US" w:eastAsia="zh-CN"/>
        </w:rPr>
      </w:pPr>
      <w:r>
        <w:rPr>
          <w:rFonts w:hint="eastAsia" w:eastAsia="宋体"/>
          <w:b/>
          <w:bCs/>
          <w:i/>
          <w:iCs/>
          <w:sz w:val="22"/>
          <w:u w:val="single"/>
          <w:lang w:val="en-US" w:eastAsia="zh-CN"/>
        </w:rPr>
        <w:t>Multiple SMTCs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RAN2 introduced multiple SMTC based on time and frequency difference. Although we are studying the redcap UE in NTN scenario, the multiple SMTCs shall also be reused since in my opinion, this is related to the NTN scenario not the types of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not the type of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22: Multiple SMTCs shall be reused for RedCap UEs in NTN scenario.</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 xml:space="preserve">Cell identification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section, we mainly discuss the inter-frequency measurement without measurement gaps as an example.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u w:val="single"/>
          <w:lang w:val="en-US" w:eastAsia="zh-CN"/>
        </w:rPr>
      </w:pPr>
      <w:r>
        <w:rPr>
          <w:rFonts w:hint="eastAsia" w:ascii="Times New Roman" w:hAnsi="Times New Roman" w:eastAsia="宋体" w:cs="Times New Roman"/>
          <w:b/>
          <w:bCs/>
          <w:sz w:val="22"/>
          <w:u w:val="single"/>
          <w:lang w:val="en-US" w:eastAsia="zh-CN"/>
        </w:rPr>
        <w:t>PSS/SSS detection and time index detection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UE performs cell identification including the time period of PSS/SSS detection and time index detection. The requirements are defined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after="156" w:afterLines="50"/>
              <w:rPr>
                <w:rFonts w:ascii="Times New Roman" w:hAnsi="Times New Roman" w:cs="Times New Roman"/>
                <w:b/>
                <w:lang w:val="en-GB"/>
              </w:rPr>
            </w:pPr>
            <w:r>
              <w:rPr>
                <w:rFonts w:ascii="Times New Roman" w:hAnsi="Times New Roman" w:cs="Times New Roman"/>
                <w:b/>
                <w:lang w:val="en-GB"/>
              </w:rPr>
              <w:t>Legacy normal UE：</w:t>
            </w:r>
          </w:p>
          <w:p>
            <w:pPr>
              <w:pStyle w:val="55"/>
              <w:rPr>
                <w:rFonts w:ascii="Times New Roman" w:hAnsi="Times New Roman"/>
              </w:rPr>
            </w:pPr>
            <w:r>
              <w:rPr>
                <w:rFonts w:ascii="Times New Roman" w:hAnsi="Times New Roman"/>
              </w:rPr>
              <w:t>Table 9.2.5.1-1: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 xml:space="preserve">NOTE 3: </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 xml:space="preserve">When </w:t>
                  </w:r>
                  <w:r>
                    <w:rPr>
                      <w:rFonts w:ascii="Times New Roman" w:hAnsi="Times New Roman"/>
                      <w:i/>
                      <w:iCs/>
                    </w:rPr>
                    <w:t>highSpeedMeasCA-Scell-r17</w:t>
                  </w:r>
                  <w:r>
                    <w:rPr>
                      <w:rFonts w:ascii="Times New Roman" w:hAnsi="Times New Roman"/>
                    </w:rPr>
                    <w:t xml:space="preserve"> is configured and UE supports </w:t>
                  </w:r>
                  <w:r>
                    <w:rPr>
                      <w:rFonts w:ascii="Times New Roman" w:hAnsi="Times New Roman"/>
                      <w:i/>
                      <w:iCs/>
                    </w:rPr>
                    <w:t>measurementEnhancementCA-r17</w:t>
                  </w:r>
                  <w:r>
                    <w:rPr>
                      <w:rFonts w:ascii="Times New Roman" w:hAnsi="Times New Roman"/>
                    </w:rPr>
                    <w:t>, M2 = 1.5 if SMTC periodicity &gt; 40 ms; otherwise M2=1.</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9.2.5.1-3: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 xml:space="preserve">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NOTE 3:</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 xml:space="preserve">NOTE 4: </w:t>
                  </w:r>
                  <w:r>
                    <w:rPr>
                      <w:rFonts w:ascii="Times New Roman" w:hAnsi="Times New Roman"/>
                    </w:rPr>
                    <w:tab/>
                  </w:r>
                  <w:r>
                    <w:rPr>
                      <w:rFonts w:ascii="Times New Roman" w:hAnsi="Times New Roman" w:eastAsia="等线"/>
                      <w:lang w:val="en-US" w:eastAsia="zh-CN"/>
                    </w:rPr>
                    <w:t xml:space="preserve">When </w:t>
                  </w:r>
                  <w:r>
                    <w:rPr>
                      <w:rFonts w:ascii="Times New Roman" w:hAnsi="Times New Roman"/>
                      <w:i/>
                      <w:iCs/>
                    </w:rPr>
                    <w:t>highSpeedMeasCA-Scell-r17</w:t>
                  </w:r>
                  <w:r>
                    <w:rPr>
                      <w:rFonts w:ascii="Times New Roman" w:hAnsi="Times New Roman" w:eastAsia="等线"/>
                      <w:lang w:val="en-US" w:eastAsia="zh-CN"/>
                    </w:rPr>
                    <w:t xml:space="preserve"> is configured and UE supports </w:t>
                  </w:r>
                  <w:r>
                    <w:rPr>
                      <w:rFonts w:ascii="Times New Roman" w:hAnsi="Times New Roman" w:eastAsia="等线"/>
                      <w:i/>
                      <w:iCs/>
                      <w:lang w:val="en-US" w:eastAsia="zh-CN"/>
                    </w:rPr>
                    <w:t>measurementEnhancementCA-r17</w:t>
                  </w:r>
                  <w:r>
                    <w:rPr>
                      <w:rFonts w:ascii="Times New Roman" w:hAnsi="Times New Roman" w:eastAsia="等线"/>
                      <w:lang w:val="en-US" w:eastAsia="zh-CN"/>
                    </w:rPr>
                    <w:t>, M2 = 1.5 if SMTC periodicity &gt; 40 ms; otherwise M2=1</w:t>
                  </w:r>
                </w:p>
              </w:tc>
            </w:tr>
          </w:tbl>
          <w:p>
            <w:pPr>
              <w:spacing w:before="156" w:beforeLines="50" w:after="156" w:afterLines="50"/>
              <w:rPr>
                <w:rFonts w:ascii="Times New Roman" w:hAnsi="Times New Roman" w:cs="Times New Roman"/>
                <w:b/>
              </w:rPr>
            </w:pPr>
            <w:r>
              <w:rPr>
                <w:rFonts w:ascii="Times New Roman" w:hAnsi="Times New Roman" w:cs="Times New Roman"/>
                <w:b/>
              </w:rPr>
              <w:t>RedCap UE:</w:t>
            </w:r>
          </w:p>
          <w:p>
            <w:pPr>
              <w:pStyle w:val="55"/>
              <w:rPr>
                <w:rFonts w:ascii="Times New Roman" w:hAnsi="Times New Roman"/>
              </w:rPr>
            </w:pPr>
            <w:r>
              <w:rPr>
                <w:rFonts w:ascii="Times New Roman" w:hAnsi="Times New Roman"/>
              </w:rPr>
              <w:t>Table 9.2B.5.1-1: Time period for PSS/SSS detection, (Frequency range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max(600ms, ceil(5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max(600ms, ceil(1.5 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9.2B.5.1-3: Time period for PSS/SSS detection, (Frequency range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 xml:space="preserve">max(600ms, ceil( </w:t>
                  </w:r>
                  <w:r>
                    <w:rPr>
                      <w:rFonts w:ascii="Times New Roman" w:hAnsi="Times New Roman"/>
                      <w:highlight w:val="yellow"/>
                    </w:rPr>
                    <w:t xml:space="preserve">7 </w:t>
                  </w:r>
                  <w:r>
                    <w:rPr>
                      <w:rFonts w:ascii="Times New Roman" w:hAnsi="Times New Roman"/>
                    </w:rPr>
                    <w:t>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max(600ms, ceil(1.5 x </w:t>
                  </w:r>
                  <w:r>
                    <w:rPr>
                      <w:rFonts w:ascii="Times New Roman" w:hAnsi="Times New Roman"/>
                      <w:highlight w:val="yellow"/>
                    </w:rPr>
                    <w:t>7</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7</w:t>
                  </w:r>
                  <w:r>
                    <w:rPr>
                      <w:rFonts w:ascii="Times New Roman" w:hAnsi="Times New Roman"/>
                      <w:lang w:val="fr-FR"/>
                    </w:rPr>
                    <w:t xml:space="preserve">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9.2B.5.1-4: Time period for time index detection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(1.5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9.2B.5.1-5: Time period for time index detection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max(160ms, ceil(</w:t>
                  </w:r>
                  <w:r>
                    <w:rPr>
                      <w:rFonts w:ascii="Times New Roman" w:hAnsi="Times New Roman"/>
                      <w:highlight w:val="yellow"/>
                    </w:rPr>
                    <w:t xml:space="preserve"> 6</w:t>
                  </w:r>
                  <w:r>
                    <w:rPr>
                      <w:rFonts w:ascii="Times New Roman" w:hAnsi="Times New Roman"/>
                    </w:rPr>
                    <w:t xml:space="preserve">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max(160ms, ceil (1.5 x </w:t>
                  </w:r>
                  <w:r>
                    <w:rPr>
                      <w:rFonts w:ascii="Times New Roman" w:hAnsi="Times New Roman"/>
                      <w:highlight w:val="yellow"/>
                    </w:rPr>
                    <w:t>6</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 xml:space="preserve">6 </w:t>
                  </w:r>
                  <w:r>
                    <w:rPr>
                      <w:rFonts w:ascii="Times New Roman" w:hAnsi="Times New Roman"/>
                      <w:lang w:val="fr-FR"/>
                    </w:rPr>
                    <w:t>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b/>
              </w:rPr>
            </w:pPr>
            <w:r>
              <w:rPr>
                <w:rFonts w:ascii="Times New Roman" w:hAnsi="Times New Roman" w:cs="Times New Roman"/>
                <w:b/>
              </w:rPr>
              <w:t>NTN scenario：</w:t>
            </w:r>
          </w:p>
          <w:p>
            <w:pPr>
              <w:pStyle w:val="55"/>
              <w:rPr>
                <w:rFonts w:ascii="Times New Roman" w:hAnsi="Times New Roman"/>
              </w:rPr>
            </w:pPr>
            <w:r>
              <w:rPr>
                <w:rFonts w:ascii="Times New Roman" w:hAnsi="Times New Roman"/>
              </w:rPr>
              <w:t>Table 9.2C.5.1-1: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lang w:eastAsia="zh-CN"/>
                    </w:rPr>
                    <w:t>1.5</w:t>
                  </w:r>
                  <w:r>
                    <w:rPr>
                      <w:rFonts w:ascii="Times New Roman" w:hAnsi="Times New Roman"/>
                      <w:vertAlign w:val="superscript"/>
                      <w:lang w:eastAsia="zh-CN"/>
                    </w:rPr>
                    <w:t xml:space="preserve"> </w:t>
                  </w:r>
                  <w:r>
                    <w:rPr>
                      <w:rFonts w:ascii="Times New Roman" w:hAnsi="Times New Roman"/>
                    </w:rPr>
                    <w:t>x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9.2C.5.1-2: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0"/>
              <w:gridCol w:w="4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x K</w:t>
                  </w:r>
                  <w:r>
                    <w:rPr>
                      <w:rFonts w:ascii="Times New Roman" w:hAnsi="Times New Roman"/>
                      <w:vertAlign w:val="subscript"/>
                      <w:lang w:val="en-US"/>
                    </w:rPr>
                    <w:t>layer1_measurement</w:t>
                  </w:r>
                  <w:r>
                    <w:rPr>
                      <w:rFonts w:ascii="Times New Roman" w:hAnsi="Times New Roman"/>
                    </w:rPr>
                    <w:t>)</w:t>
                  </w:r>
                  <w:r>
                    <w:rPr>
                      <w:rFonts w:ascii="Times New Roman" w:hAnsi="Times New Roman"/>
                      <w:vertAlign w:val="subscript"/>
                    </w:rPr>
                    <w:t xml:space="preserve"> </w:t>
                  </w:r>
                  <w:r>
                    <w:rPr>
                      <w:rFonts w:ascii="Times New Roman" w:hAnsi="Times New Roman"/>
                    </w:rPr>
                    <w:t>x K</w:t>
                  </w:r>
                  <w:r>
                    <w:rPr>
                      <w:rFonts w:ascii="Times New Roman" w:hAnsi="Times New Roman"/>
                      <w:vertAlign w:val="subscript"/>
                    </w:rPr>
                    <w:t>multi_SMTC</w:t>
                  </w:r>
                  <w:r>
                    <w:rPr>
                      <w:rFonts w:ascii="Times New Roman" w:hAnsi="Times New Roman"/>
                    </w:rPr>
                    <w:t xml:space="preserve"> 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lang w:eastAsia="zh-CN"/>
                    </w:rPr>
                    <w:t>1.5</w:t>
                  </w:r>
                  <w:r>
                    <w:rPr>
                      <w:rFonts w:ascii="Times New Roman" w:hAnsi="Times New Roman"/>
                    </w:rPr>
                    <w:t xml:space="preserve"> x 3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table in above, we find that the legacy NR NTN requirements and the legacy  requirements for 2Rx RedCap UE are the same as legacy requirements. For 1Rx RedCap UE, the time period of PSS/SSS detection and time index detection are relaxed and highlight can be seen in the table.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From my perspective, the time period of PSS/SSS detection and time index detection can be reused for 2Rx RedCap UE in NTN. For 1Rx RedCap UE in NTN, the legacy time period for 1Rx RedCap UE can be baseline.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23: RAN4 shall define time period of PSS/SSS detection and time index detection. The requirements for 1Rx and 2Rx RedCap UE in NTN scenario shall reuse the legacy RedCap requirements.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Measurement period (intra-frequency measurement without measurement gaps)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we also discussed the legacy TN/ legacy RedCap UE/legacy NR NTN measurement requirements, and we find that the requirements are same in TS 38.133. Thus, to my understanding,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24: The RedCap UEs with 1Rx and 2Rx in NTN shall own the same measurement period requirements as legacy RedCap UE.</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2.1.2.1.2 Unique requirements for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RAN4 has already studied several unique requirements for NTN based on its special characteristics. In the last meeting, we also agreed several potential RRM requirements shall be studied for RedCap UEs in NTN scenario. And the following potential requirements agreed in last meeting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5"/>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Satellite switch with re-synchronization</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Hard / Soft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Pathloss reference signal switching delay</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MAC-CE based pathloss reference signal switch delay</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Also, the following aspects in the below table shall firstly study the feasibility and then study the related RRM requirements: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sz w:val="22"/>
                <w:szCs w:val="20"/>
                <w:vertAlign w:val="baseline"/>
                <w:lang w:val="en-US" w:eastAsia="zh-CN"/>
              </w:rPr>
            </w:pPr>
            <w:r>
              <w:rPr>
                <w:rFonts w:hint="eastAsia" w:eastAsia="宋体"/>
                <w:sz w:val="22"/>
                <w:szCs w:val="20"/>
                <w:highlight w:val="yellow"/>
                <w:vertAlign w:val="baseline"/>
                <w:lang w:val="en-US" w:eastAsia="zh-CN"/>
              </w:rPr>
              <w:t>FFS:</w:t>
            </w:r>
            <w:r>
              <w:rPr>
                <w:rFonts w:hint="eastAsia" w:eastAsia="宋体"/>
                <w:sz w:val="22"/>
                <w:szCs w:val="20"/>
                <w:vertAlign w:val="baseline"/>
                <w:lang w:val="en-US" w:eastAsia="zh-CN"/>
              </w:rPr>
              <w:t xml:space="preserve">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sz w:val="22"/>
                <w:szCs w:val="20"/>
                <w:vertAlign w:val="baseline"/>
                <w:lang w:val="en-US" w:eastAsia="zh-CN"/>
              </w:rPr>
            </w:pPr>
            <w:r>
              <w:rPr>
                <w:rFonts w:hint="eastAsia" w:eastAsia="宋体"/>
                <w:sz w:val="22"/>
                <w:szCs w:val="20"/>
                <w:vertAlign w:val="baseline"/>
                <w:lang w:val="en-US" w:eastAsia="zh-CN"/>
              </w:rPr>
              <w:t xml:space="preserve">R17/18 Conditional Handover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宋体"/>
                <w:sz w:val="22"/>
                <w:szCs w:val="20"/>
                <w:vertAlign w:val="baseline"/>
                <w:lang w:val="en-US" w:eastAsia="zh-CN"/>
              </w:rPr>
              <w:t>RACH-less Handover</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Times New Roman"/>
                <w:sz w:val="20"/>
                <w:szCs w:val="20"/>
                <w:vertAlign w:val="baseline"/>
                <w:lang w:val="en-US" w:eastAsia="zh-CN"/>
              </w:rPr>
              <w:t>Minimization of Derive Tests (MDT) in RRC Idle state and RRC Inactive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Next, we will also study each requirements one by one.</w:t>
      </w:r>
    </w:p>
    <w:p>
      <w:pPr>
        <w:pStyle w:val="7"/>
        <w:overflowPunct w:val="0"/>
        <w:autoSpaceDE w:val="0"/>
        <w:autoSpaceDN w:val="0"/>
        <w:adjustRightInd w:val="0"/>
        <w:spacing w:before="120" w:after="120" w:line="360" w:lineRule="auto"/>
        <w:ind w:left="0"/>
        <w:jc w:val="both"/>
        <w:textAlignment w:val="baseline"/>
        <w:rPr>
          <w:rFonts w:hint="default"/>
          <w:lang w:val="en-US" w:eastAsia="zh-CN"/>
        </w:rPr>
      </w:pPr>
      <w:r>
        <w:rPr>
          <w:rFonts w:hint="eastAsia"/>
          <w:lang w:val="en-US" w:eastAsia="zh-CN"/>
        </w:rPr>
        <w:t>2.1.2.1.2.1 Satellite switch with re-synchronization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satellite switch, this is NTN specific requirement that we have hard satellite switch and soft satellite switch.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w:t>
            </w:r>
            <w:r>
              <w:rPr>
                <w:highlight w:val="yellow"/>
              </w:rPr>
              <w:t xml:space="preserve"> same SSB frequency and same gNB</w:t>
            </w:r>
            <w:r>
              <w:t xml:space="preserve"> without PCI changing. The requirements in this clause are applicable to SA NR</w:t>
            </w:r>
            <w:r>
              <w:rPr>
                <w:rFonts w:hint="eastAsia"/>
                <w:lang w:eastAsia="zh-CN"/>
              </w:rPr>
              <w:t xml:space="preserve"> SAN</w:t>
            </w:r>
            <w:r>
              <w:t>.</w:t>
            </w:r>
          </w:p>
          <w:p>
            <w:pPr>
              <w:rPr>
                <w:rFonts w:hint="eastAsia"/>
                <w:vertAlign w:val="baseline"/>
                <w:lang w:val="en-US" w:eastAsia="zh-CN"/>
              </w:rPr>
            </w:pPr>
            <w:r>
              <w:t xml:space="preserve">The requirements in this clause are applicable to both hard and soft switch over in </w:t>
            </w:r>
            <w:r>
              <w:rPr>
                <w:b/>
                <w:bCs/>
                <w:highlight w:val="yellow"/>
                <w:lang w:eastAsia="zh-CN"/>
              </w:rPr>
              <w:t>quasi-earth fixed scenario</w:t>
            </w:r>
            <w:r>
              <w:rPr>
                <w:highlight w:val="yellow"/>
              </w:rPr>
              <w:t xml:space="preserve"> from NR</w:t>
            </w:r>
            <w:r>
              <w:rPr>
                <w:rFonts w:hint="eastAsia"/>
                <w:highlight w:val="yellow"/>
                <w:lang w:eastAsia="zh-CN"/>
              </w:rPr>
              <w:t xml:space="preserve"> SAN</w:t>
            </w:r>
            <w:r>
              <w:rPr>
                <w:highlight w:val="yellow"/>
              </w:rPr>
              <w:t xml:space="preserve"> FR1 cell to NR</w:t>
            </w:r>
            <w:r>
              <w:rPr>
                <w:rFonts w:hint="eastAsia"/>
                <w:highlight w:val="yellow"/>
                <w:lang w:eastAsia="zh-CN"/>
              </w:rPr>
              <w:t xml:space="preserve"> SAN</w:t>
            </w:r>
            <w:r>
              <w:rPr>
                <w:highlight w:val="yellow"/>
              </w:rPr>
              <w:t xml:space="preserve"> FR1 cell</w:t>
            </w:r>
            <w:r>
              <w: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hard satellite switch, when the UE switches from the current serving satellite to a new satellite, it first disconnects from the original satellite before establishing a connection with the new one.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it allows the UE to maintain connections with multiple satellites simultaneously. During the handover process, the UE first establishes a communication link with the target satellite and only disconnects from the original satellite after ensuring the new connection is stable.</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Hard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hard satellite switch delay, the main delay can be seen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46500" cy="1722120"/>
            <wp:effectExtent l="0" t="0" r="254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0"/>
                    <a:stretch>
                      <a:fillRect/>
                    </a:stretch>
                  </pic:blipFill>
                  <pic:spPr>
                    <a:xfrm>
                      <a:off x="0" y="0"/>
                      <a:ext cx="3746500" cy="17221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Figure</w:t>
      </w:r>
      <w:r>
        <w:rPr>
          <w:rFonts w:hint="eastAsia" w:cs="Times New Roman"/>
          <w:kern w:val="0"/>
          <w:sz w:val="20"/>
          <w:szCs w:val="20"/>
          <w:lang w:val="en-US" w:eastAsia="zh-CN" w:bidi="ar"/>
        </w:rPr>
        <w:t>1  Hard satellite switch delay</w:t>
      </w:r>
    </w:p>
    <w:p>
      <w:pPr>
        <w:rPr>
          <w:rFonts w:cs="v4.2.0"/>
          <w:position w:val="-6"/>
        </w:rPr>
      </w:pPr>
      <w:r>
        <w:rPr>
          <w:rFonts w:hint="eastAsia" w:eastAsia="宋体"/>
          <w:sz w:val="20"/>
          <w:szCs w:val="20"/>
          <w:lang w:val="en-US" w:eastAsia="zh-CN"/>
        </w:rPr>
        <w:t>The interruption time shall be less than</w:t>
      </w:r>
      <w:r>
        <w:rPr>
          <w:rFonts w:cs="v4.2.0"/>
        </w:rPr>
        <w:t xml:space="preserve"> T</w:t>
      </w:r>
      <w:r>
        <w:rPr>
          <w:rFonts w:cs="v4.2.0"/>
          <w:vertAlign w:val="subscript"/>
        </w:rPr>
        <w:t>interrupt</w:t>
      </w:r>
    </w:p>
    <w:p>
      <w:pPr>
        <w:keepNext w:val="0"/>
        <w:keepLines w:val="0"/>
        <w:widowControl/>
        <w:suppressLineNumbers w:val="0"/>
        <w:jc w:val="center"/>
        <w:rPr>
          <w:rFonts w:hint="default" w:ascii="Times New Roman" w:hAnsi="Times New Roman" w:eastAsia="Times New Roman" w:cs="Times New Roman"/>
          <w:kern w:val="0"/>
          <w:sz w:val="20"/>
          <w:szCs w:val="20"/>
          <w:lang w:val="en-US" w:eastAsia="zh-CN" w:bidi="ar"/>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find that the interruption time in hard satellite switch delay is nearly same as the RedCap UEs handover requirements. We can see the each component of interruption time in legacy hard satellite switch delay defined in existing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rFonts w:hint="default" w:eastAsia="宋体" w:cs="v4.2.0"/>
                <w:i/>
                <w:iCs/>
                <w:lang w:val="en-US" w:eastAsia="zh-CN"/>
              </w:rPr>
            </w:pPr>
            <w:r>
              <w:rPr>
                <w:rFonts w:hint="eastAsia" w:eastAsia="宋体" w:cs="v4.2.0"/>
                <w:i/>
                <w:iCs/>
                <w:lang w:val="en-US" w:eastAsia="zh-CN"/>
              </w:rPr>
              <w:t>Legacy Satellite hard switching interruption time:</w:t>
            </w:r>
          </w:p>
          <w:p>
            <w:pPr>
              <w:pStyle w:val="53"/>
              <w:rPr>
                <w:rFonts w:cs="v4.2.0"/>
                <w:position w:val="-6"/>
              </w:rPr>
            </w:pPr>
            <w:r>
              <w:rPr>
                <w:rFonts w:cs="v4.2.0"/>
              </w:rPr>
              <w:t>the interruption time shall be less than T</w:t>
            </w:r>
            <w:r>
              <w:rPr>
                <w:rFonts w:cs="v4.2.0"/>
                <w:vertAlign w:val="subscript"/>
              </w:rPr>
              <w:t>interrupt</w:t>
            </w:r>
          </w:p>
          <w:p>
            <w:pPr>
              <w:pStyle w:val="53"/>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pStyle w:val="53"/>
              <w:rPr>
                <w:rFonts w:cs="v4.2.0"/>
                <w:lang w:eastAsia="zh-CN"/>
              </w:rPr>
            </w:pPr>
            <w:r>
              <w:rPr>
                <w:rFonts w:cs="v4.2.0"/>
                <w:lang w:eastAsia="zh-CN"/>
              </w:rPr>
              <w:t>O</w:t>
            </w:r>
            <w:r>
              <w:rPr>
                <w:rFonts w:hint="eastAsia" w:cs="v4.2.0"/>
                <w:lang w:eastAsia="zh-CN"/>
              </w:rPr>
              <w:t>therwise, no interruption time requirement is applied.</w:t>
            </w:r>
          </w:p>
          <w:p>
            <w:pPr>
              <w:pStyle w:val="53"/>
              <w:rPr>
                <w:rFonts w:cs="v4.2.0"/>
              </w:rPr>
            </w:pPr>
            <w:r>
              <w:rPr>
                <w:rFonts w:cs="v4.2.0"/>
              </w:rPr>
              <w:t>Where:</w:t>
            </w:r>
          </w:p>
          <w:p>
            <w:pPr>
              <w:pStyle w:val="53"/>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r>
              <w:rPr>
                <w:highlight w:val="yellow"/>
              </w:rPr>
              <w:t>[T</w:t>
            </w:r>
            <w:r>
              <w:rPr>
                <w:highlight w:val="yellow"/>
                <w:vertAlign w:val="subscript"/>
              </w:rPr>
              <w:t>first</w:t>
            </w:r>
            <w:r>
              <w:rPr>
                <w:highlight w:val="yellow"/>
                <w:vertAlign w:val="subscript"/>
                <w:lang w:eastAsia="zh-CN"/>
              </w:rPr>
              <w:t>_SSB</w:t>
            </w:r>
            <w:r>
              <w:rPr>
                <w:highlight w:val="yellow"/>
              </w:rPr>
              <w:t>]</w:t>
            </w:r>
            <w:r>
              <w:t xml:space="preserve"> ms. Regardless of whether DRX is in use by the UE, T</w:t>
            </w:r>
            <w:r>
              <w:rPr>
                <w:vertAlign w:val="subscript"/>
              </w:rPr>
              <w:t>search</w:t>
            </w:r>
            <w:r>
              <w:t xml:space="preserve"> shall still be based on non-DRX target cell search times.</w:t>
            </w:r>
          </w:p>
          <w:p>
            <w:pPr>
              <w:pStyle w:val="53"/>
            </w:pPr>
            <w:r>
              <w:rPr>
                <w:rFonts w:hint="eastAsia"/>
                <w:lang w:eastAsia="zh-CN"/>
              </w:rPr>
              <w:t>-</w:t>
            </w:r>
            <w:r>
              <w:tab/>
            </w:r>
            <w:r>
              <w:t>T</w:t>
            </w:r>
            <w:r>
              <w:rPr>
                <w:vertAlign w:val="subscript"/>
              </w:rPr>
              <w:t>∆</w:t>
            </w:r>
            <w:r>
              <w:t xml:space="preserve"> is same as the one defined in section 6.1C.2.2.2.1.</w:t>
            </w:r>
          </w:p>
          <w:p>
            <w:pPr>
              <w:pStyle w:val="53"/>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w:t>
            </w:r>
            <w:r>
              <w:rPr>
                <w:highlight w:val="yellow"/>
              </w:rPr>
              <w:t>10</w:t>
            </w:r>
            <w:r>
              <w:t xml:space="preserve"> ms.</w:t>
            </w:r>
          </w:p>
          <w:p>
            <w:pPr>
              <w:pStyle w:val="53"/>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53"/>
              <w:rPr>
                <w:lang w:eastAsia="zh-CN"/>
              </w:rPr>
            </w:pPr>
            <w:r>
              <w:rPr>
                <w:rFonts w:hint="eastAsia"/>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53"/>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lang w:eastAsia="zh-CN"/>
              </w:rPr>
              <w:t>-</w:t>
            </w:r>
            <w:r>
              <w:tab/>
            </w:r>
            <w:r>
              <w:t>T</w:t>
            </w:r>
            <w:r>
              <w:rPr>
                <w:vertAlign w:val="subscript"/>
              </w:rPr>
              <w:t>first_SSB</w:t>
            </w:r>
            <w:r>
              <w:t xml:space="preserve"> is the time to the end of the first complete SSB burst </w:t>
            </w:r>
            <w:bookmarkStart w:id="4" w:name="_Hlk164355419"/>
            <w:r>
              <w:rPr>
                <w:rFonts w:eastAsia="宋体"/>
                <w:lang w:eastAsia="zh-CN"/>
              </w:rPr>
              <w:t>of target satellite</w:t>
            </w:r>
            <w:bookmarkEnd w:id="4"/>
            <w:r>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38.331 [2]] to UE.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We know that the Tsearch will be impacted by reduced UE receiving branches. From my perspective, if the target cell is an unknown intra-frequency cell and the target cell Es/Iot≥-2dB, then Tsearch =1*Tfirst_ssb ms if UE is capable of  2Rx antennas; Tsearch=2*Tfirst_ssb ms if UE is only required to support 1Rx antenna.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25: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cs="Times New Roman"/>
          <w:b w:val="0"/>
          <w:bCs w:val="0"/>
          <w:sz w:val="20"/>
          <w:lang w:val="en-US" w:eastAsia="zh-CN"/>
        </w:rPr>
        <w:t>Soft</w:t>
      </w:r>
      <w:r>
        <w:rPr>
          <w:rFonts w:hint="eastAsia" w:eastAsia="Times New Roman" w:cs="Times New Roman"/>
          <w:b w:val="0"/>
          <w:bCs w:val="0"/>
          <w:sz w:val="20"/>
          <w:lang w:val="en-US" w:eastAsia="zh-CN"/>
        </w:rPr>
        <w:t xml:space="preserve">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delay, the main delay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64635" cy="3879850"/>
            <wp:effectExtent l="0" t="0" r="444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1"/>
                    <a:stretch>
                      <a:fillRect/>
                    </a:stretch>
                  </pic:blipFill>
                  <pic:spPr>
                    <a:xfrm>
                      <a:off x="0" y="0"/>
                      <a:ext cx="4064635" cy="3879850"/>
                    </a:xfrm>
                    <a:prstGeom prst="rect">
                      <a:avLst/>
                    </a:prstGeom>
                    <a:noFill/>
                    <a:ln w="9525">
                      <a:noFill/>
                    </a:ln>
                  </pic:spPr>
                </pic:pic>
              </a:graphicData>
            </a:graphic>
          </wp:inline>
        </w:drawing>
      </w:r>
    </w:p>
    <w:p>
      <w:pPr>
        <w:jc w:val="center"/>
        <w:rPr>
          <w:rFonts w:hint="default" w:eastAsia="宋体" w:cs="v4.2.0"/>
          <w:lang w:val="en-US" w:eastAsia="zh-CN"/>
        </w:rPr>
      </w:pPr>
      <w:r>
        <w:rPr>
          <w:rFonts w:hint="eastAsia" w:eastAsia="宋体" w:cs="v4.2.0"/>
          <w:lang w:val="en-US" w:eastAsia="zh-CN"/>
        </w:rPr>
        <w:t>Figure 2 Soft satellite switch delay</w:t>
      </w:r>
    </w:p>
    <w:p>
      <w:pPr>
        <w:keepNext w:val="0"/>
        <w:pageBreakBefore w:val="0"/>
        <w:widowControl/>
        <w:kinsoku/>
        <w:wordWrap/>
        <w:topLinePunct w:val="0"/>
        <w:bidi w:val="0"/>
        <w:snapToGrid/>
        <w:spacing w:before="0" w:beforeLines="50" w:after="0" w:afterLines="50" w:line="240" w:lineRule="auto"/>
        <w:rPr>
          <w:rFonts w:cs="v4.2.0"/>
          <w:position w:val="-6"/>
          <w:sz w:val="20"/>
          <w:szCs w:val="20"/>
        </w:rPr>
      </w:pPr>
      <w:r>
        <w:rPr>
          <w:rFonts w:hint="eastAsia" w:eastAsia="宋体" w:cs="v4.2.0"/>
          <w:sz w:val="20"/>
          <w:szCs w:val="20"/>
          <w:lang w:val="en-US" w:eastAsia="zh-CN"/>
        </w:rPr>
        <w:t>T</w:t>
      </w:r>
      <w:r>
        <w:rPr>
          <w:rFonts w:cs="v4.2.0"/>
          <w:sz w:val="20"/>
          <w:szCs w:val="20"/>
        </w:rPr>
        <w:t xml:space="preserve">he </w:t>
      </w:r>
      <w:r>
        <w:rPr>
          <w:rFonts w:hint="eastAsia" w:eastAsia="宋体" w:cs="v4.2.0"/>
          <w:sz w:val="20"/>
          <w:szCs w:val="20"/>
          <w:lang w:val="en-US" w:eastAsia="zh-CN"/>
        </w:rPr>
        <w:t xml:space="preserve">soft </w:t>
      </w:r>
      <w:r>
        <w:rPr>
          <w:rFonts w:cs="v4.2.0"/>
          <w:sz w:val="20"/>
          <w:szCs w:val="20"/>
        </w:rPr>
        <w:t>satellite switch time shall be less than 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p>
    <w:p>
      <w:pPr>
        <w:keepNext w:val="0"/>
        <w:keepLines/>
        <w:pageBreakBefore w:val="0"/>
        <w:widowControl/>
        <w:tabs>
          <w:tab w:val="center" w:pos="4536"/>
          <w:tab w:val="right" w:pos="9072"/>
        </w:tabs>
        <w:kinsoku/>
        <w:wordWrap/>
        <w:topLinePunct w:val="0"/>
        <w:bidi w:val="0"/>
        <w:snapToGrid/>
        <w:spacing w:before="0" w:beforeLines="50" w:after="0" w:afterLines="50" w:line="240" w:lineRule="auto"/>
        <w:rPr>
          <w:sz w:val="20"/>
          <w:szCs w:val="20"/>
        </w:rPr>
      </w:pPr>
      <w:r>
        <w:rPr>
          <w:sz w:val="20"/>
          <w:szCs w:val="20"/>
        </w:rPr>
        <w:tab/>
      </w:r>
      <w:r>
        <w:rPr>
          <w:rFonts w:cs="v4.2.0"/>
          <w:sz w:val="20"/>
          <w:szCs w:val="20"/>
        </w:rPr>
        <w:t>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r>
        <w:rPr>
          <w:sz w:val="20"/>
          <w:szCs w:val="20"/>
        </w:rPr>
        <w:t xml:space="preserve"> = max(</w:t>
      </w:r>
      <w:r>
        <w:rPr>
          <w:i/>
          <w:sz w:val="20"/>
          <w:szCs w:val="20"/>
        </w:rPr>
        <w:t>t-service</w:t>
      </w:r>
      <w:r>
        <w:rPr>
          <w:sz w:val="20"/>
          <w:szCs w:val="20"/>
        </w:rPr>
        <w:t>-</w:t>
      </w:r>
      <w:r>
        <w:rPr>
          <w:i/>
          <w:sz w:val="20"/>
          <w:szCs w:val="20"/>
        </w:rPr>
        <w:t>t-seviceStart</w:t>
      </w:r>
      <w:r>
        <w:rPr>
          <w:sz w:val="20"/>
          <w:szCs w:val="20"/>
        </w:rPr>
        <w:t>, 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sz w:val="20"/>
          <w:szCs w:val="20"/>
          <w:lang w:eastAsia="zh-CN"/>
        </w:rPr>
        <w:t>)</w:t>
      </w:r>
      <w:r>
        <w:rPr>
          <w:sz w:val="20"/>
          <w:szCs w:val="20"/>
        </w:rPr>
        <w:t xml:space="preserve"> + T</w:t>
      </w:r>
      <w:r>
        <w:rPr>
          <w:sz w:val="20"/>
          <w:szCs w:val="20"/>
          <w:vertAlign w:val="subscript"/>
        </w:rPr>
        <w:t>IU</w:t>
      </w:r>
      <w:r>
        <w:rPr>
          <w:sz w:val="20"/>
          <w:szCs w:val="20"/>
        </w:rPr>
        <w:t xml:space="preserve"> + T</w:t>
      </w:r>
      <w:r>
        <w:rPr>
          <w:sz w:val="20"/>
          <w:szCs w:val="20"/>
          <w:vertAlign w:val="subscript"/>
          <w:lang w:eastAsia="zh-CN"/>
        </w:rPr>
        <w:t>processing</w:t>
      </w:r>
      <w:r>
        <w:rPr>
          <w:sz w:val="20"/>
          <w:szCs w:val="20"/>
          <w:lang w:eastAsia="zh-CN"/>
        </w:rPr>
        <w:t xml:space="preserve"> </w:t>
      </w:r>
      <w:r>
        <w:rPr>
          <w:sz w:val="20"/>
          <w:szCs w:val="20"/>
          <w:vertAlign w:val="subscript"/>
          <w:lang w:eastAsia="zh-CN"/>
        </w:rPr>
        <w:t xml:space="preserve"> </w:t>
      </w:r>
      <w:r>
        <w:rPr>
          <w:sz w:val="20"/>
          <w:szCs w:val="20"/>
        </w:rPr>
        <w:t>ms</w:t>
      </w:r>
    </w:p>
    <w:p>
      <w:pPr>
        <w:keepNext w:val="0"/>
        <w:pageBreakBefore w:val="0"/>
        <w:widowControl/>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eastAsia="宋体"/>
          <w:sz w:val="20"/>
          <w:szCs w:val="20"/>
          <w:lang w:val="en-US" w:eastAsia="zh-CN"/>
        </w:rPr>
      </w:pPr>
      <w:r>
        <w:rPr>
          <w:rFonts w:hint="eastAsia" w:eastAsia="宋体"/>
          <w:sz w:val="20"/>
          <w:szCs w:val="20"/>
          <w:lang w:val="en-US" w:eastAsia="zh-CN"/>
        </w:rPr>
        <w:t xml:space="preserve">We know that the soft satellite switch delay includes two parts: Sync to target satellite and the interruption. For the first part, it includes full or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or t-service-t-serviceStart. For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eastAsia="宋体"/>
          <w:sz w:val="20"/>
          <w:szCs w:val="20"/>
          <w:lang w:val="en-US" w:eastAsia="zh-CN"/>
        </w:rPr>
        <w:t xml:space="preserve">, if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larger than t-service-t-serviceStart, the interruption will also contain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and the soft satellite switch delay will be much longer than the case which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smaller than t-service-t-serviceStart. Tsearch is also involved in soft satellite switch delay. To my understanding, the same method in hard satellite switch shall be 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26: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2.1.2.1.2.2 Pathloss reference signal switching delay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pathloss reference signal switch, this is the RS designated by the network for the UE to update its channel pathloss. For example, when a UE moves from the edge of current cell to a new cell, the power of signal and quality will change.To ensure the UE can adapt the new channel condition, the network will send the MAC-CE activation message to notify UE that the RS shall be switched. The UE is required to complete the switch within a specific window after receiving this message and commence the pathloss estimation using the new reference signal. However, the specific window is actually the pathloss reference signal switching delay. </w:t>
      </w:r>
      <w:r>
        <w:rPr>
          <w:rFonts w:hint="default" w:ascii="Times New Roman" w:hAnsi="Times New Roman" w:eastAsia="宋体"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  </w:t>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HARQ</m:t>
            </m:r>
            <m:ctrlPr>
              <w:rPr>
                <w:rFonts w:hint="default" w:ascii="Cambria Math" w:hAnsi="Cambria Math" w:cs="Times New Roman"/>
                <w:sz w:val="20"/>
                <w:szCs w:val="20"/>
              </w:rPr>
            </m:ctrlPr>
          </m:sub>
        </m:sSub>
      </m:oMath>
      <w:r>
        <w:rPr>
          <w:rFonts w:hint="default" w:ascii="Times New Roman" w:hAnsi="Times New Roman" w:cs="Times New Roman"/>
          <w:sz w:val="20"/>
          <w:szCs w:val="20"/>
        </w:rPr>
        <w:t>+</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 xml:space="preserve"> +  NM∗</m:t>
        </m:r>
      </m:oMath>
      <w:r>
        <w:rPr>
          <w:rFonts w:hint="default" w:ascii="Times New Roman" w:hAnsi="Times New Roman" w:cs="Times New Roman"/>
          <w:sz w:val="20"/>
          <w:szCs w:val="20"/>
        </w:rPr>
        <w:t xml:space="preserve"> </w:t>
      </w:r>
      <m:oMath>
        <m:d>
          <m:dPr>
            <m:begChr m:val="⌈"/>
            <m:endChr m:val="⌉"/>
            <m:ctrlPr>
              <w:rPr>
                <w:rFonts w:hint="default" w:ascii="Cambria Math" w:hAnsi="Cambria Math" w:cs="Times New Roman"/>
                <w:sz w:val="20"/>
                <w:szCs w:val="20"/>
              </w:rPr>
            </m:ctrlPr>
          </m:dPr>
          <m:e>
            <m:f>
              <m:fPr>
                <m:ctrlPr>
                  <w:rPr>
                    <w:rFonts w:hint="default" w:ascii="Cambria Math" w:hAnsi="Cambria Math" w:cs="Times New Roman"/>
                    <w:sz w:val="20"/>
                    <w:szCs w:val="20"/>
                  </w:rPr>
                </m:ctrlPr>
              </m:fPr>
              <m:num>
                <m:r>
                  <m:rPr>
                    <m:sty m:val="p"/>
                  </m:rPr>
                  <w:rPr>
                    <w:rFonts w:hint="default" w:ascii="Cambria Math" w:hAnsi="Cambria Math" w:cs="Times New Roman"/>
                    <w:sz w:val="20"/>
                    <w:szCs w:val="20"/>
                  </w:rPr>
                  <m:t xml:space="preserve"> 5∗</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target</m:t>
                    </m:r>
                    <m:r>
                      <m:rPr>
                        <m:sty m:val="p"/>
                      </m:rPr>
                      <w:rPr>
                        <w:rFonts w:hint="default" w:ascii="Cambria Math" w:hAnsi="Cambria Math" w:cs="Times New Roman"/>
                        <w:sz w:val="20"/>
                        <w:szCs w:val="20"/>
                      </w:rPr>
                      <m:t>_</m:t>
                    </m:r>
                    <m:r>
                      <m:rPr/>
                      <w:rPr>
                        <w:rFonts w:hint="default" w:ascii="Cambria Math" w:hAnsi="Cambria Math" w:cs="Times New Roman"/>
                        <w:sz w:val="20"/>
                        <w:szCs w:val="20"/>
                      </w:rPr>
                      <m:t>PL</m:t>
                    </m:r>
                    <m:r>
                      <m:rPr>
                        <m:sty m:val="p"/>
                      </m:rPr>
                      <w:rPr>
                        <w:rFonts w:hint="default" w:ascii="Cambria Math" w:hAnsi="Cambria Math" w:cs="Times New Roman"/>
                        <w:sz w:val="20"/>
                        <w:szCs w:val="20"/>
                      </w:rPr>
                      <m:t>−</m:t>
                    </m:r>
                    <m:r>
                      <m:rPr/>
                      <w:rPr>
                        <w:rFonts w:hint="default" w:ascii="Cambria Math" w:hAnsi="Cambria Math" w:cs="Times New Roman"/>
                        <w:sz w:val="20"/>
                        <w:szCs w:val="20"/>
                      </w:rPr>
                      <m:t>RS</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+ 2ms</m:t>
                </m:r>
                <m:ctrlPr>
                  <w:rPr>
                    <w:rFonts w:hint="default" w:ascii="Cambria Math" w:hAnsi="Cambria Math" w:cs="Times New Roman"/>
                    <w:sz w:val="20"/>
                    <w:szCs w:val="20"/>
                  </w:rPr>
                </m:ctrlPr>
              </m:num>
              <m:den>
                <m:r>
                  <m:rPr/>
                  <w:rPr>
                    <w:rFonts w:hint="default" w:ascii="Cambria Math" w:hAnsi="Cambria Math" w:cs="Times New Roman"/>
                    <w:sz w:val="20"/>
                    <w:szCs w:val="20"/>
                  </w:rPr>
                  <m:t>NR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slot</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lengtℎ</m:t>
                </m:r>
                <m:ctrlPr>
                  <w:rPr>
                    <w:rFonts w:hint="default" w:ascii="Cambria Math" w:hAnsi="Cambria Math" w:cs="Times New Roman"/>
                    <w:sz w:val="20"/>
                    <w:szCs w:val="20"/>
                  </w:rPr>
                </m:ctrlPr>
              </m:den>
            </m:f>
            <m:ctrlPr>
              <w:rPr>
                <w:rFonts w:hint="default" w:ascii="Cambria Math" w:hAnsi="Cambria Math" w:cs="Times New Roman"/>
                <w:sz w:val="20"/>
                <w:szCs w:val="20"/>
              </w:rPr>
            </m:ctrlPr>
          </m:e>
        </m:d>
      </m:oMath>
      <w:r>
        <w:rPr>
          <w:rFonts w:hint="default" w:ascii="Times New Roman" w:hAnsi="Times New Roman" w:eastAsia="宋体" w:cs="Times New Roman"/>
          <w:sz w:val="20"/>
          <w:szCs w:val="20"/>
          <w:lang w:val="en-GB" w:eastAsia="zh-CN"/>
        </w:rPr>
        <w:t xml:space="preserve">.  The UE shall be able to apply old pathloss reference signals until the slot n + </w:t>
      </w:r>
      <m:oMath>
        <m:sSub>
          <m:sSubPr>
            <m:ctrlPr>
              <w:rPr>
                <w:rFonts w:hint="default" w:ascii="Cambria Math" w:hAnsi="Cambria Math" w:eastAsia="宋体" w:cs="Times New Roman"/>
                <w:sz w:val="20"/>
                <w:szCs w:val="20"/>
                <w:lang w:val="en-GB" w:eastAsia="zh-CN"/>
              </w:rPr>
            </m:ctrlPr>
          </m:sSubPr>
          <m:e>
            <m:r>
              <m:rPr/>
              <w:rPr>
                <w:rFonts w:hint="default" w:ascii="Cambria Math" w:hAnsi="Cambria Math" w:eastAsia="宋体" w:cs="Times New Roman"/>
                <w:sz w:val="20"/>
                <w:szCs w:val="20"/>
                <w:lang w:val="en-GB" w:eastAsia="zh-CN"/>
              </w:rPr>
              <m:t>T</m:t>
            </m:r>
            <m:ctrlPr>
              <w:rPr>
                <w:rFonts w:hint="default" w:ascii="Cambria Math" w:hAnsi="Cambria Math" w:eastAsia="宋体" w:cs="Times New Roman"/>
                <w:sz w:val="20"/>
                <w:szCs w:val="20"/>
                <w:lang w:val="en-GB" w:eastAsia="zh-CN"/>
              </w:rPr>
            </m:ctrlPr>
          </m:e>
          <m:sub>
            <m:r>
              <m:rPr/>
              <w:rPr>
                <w:rFonts w:hint="default" w:ascii="Cambria Math" w:hAnsi="Cambria Math" w:eastAsia="宋体" w:cs="Times New Roman"/>
                <w:sz w:val="20"/>
                <w:szCs w:val="20"/>
                <w:lang w:val="en-GB" w:eastAsia="zh-CN"/>
              </w:rPr>
              <m:t>HARQ</m:t>
            </m:r>
            <m:ctrlPr>
              <w:rPr>
                <w:rFonts w:hint="default" w:ascii="Cambria Math" w:hAnsi="Cambria Math" w:eastAsia="宋体" w:cs="Times New Roman"/>
                <w:sz w:val="20"/>
                <w:szCs w:val="20"/>
                <w:lang w:val="en-GB" w:eastAsia="zh-CN"/>
              </w:rPr>
            </m:ctrlPr>
          </m:sub>
        </m:sSub>
      </m:oMath>
      <w:r>
        <w:rPr>
          <w:rFonts w:hint="default" w:ascii="Times New Roman" w:hAnsi="Times New Roman" w:eastAsia="宋体" w:cs="Times New Roman"/>
          <w:sz w:val="20"/>
          <w:szCs w:val="20"/>
          <w:lang w:val="en-GB" w:eastAsia="zh-CN"/>
        </w:rPr>
        <w:t xml:space="preserve">+ </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we think there is no impact on RedCap UEs in NTN scenario since each component is not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RAN4 shall reuse the legacy passloss reference signal switching delay in NTN for 1Rx and 2Rx RedCap UEs in NTN scenario.</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2.1.2.1.2.3 RACH-less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 Thus, we deem that the RACH-less handover delay is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28: If RAN4 defines the RACH-based handover requirements for RedCap UEs in NTN, RAN4 shall reuse the same requirements for RACH-less handover requirements for RedCap UEs in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2.1.2.1.2.4 Conditional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conditional handover, we find that RAN4 has not defined the requirements for RedCap UEs in TN in legacy. RAN4 has already defined the conditional handover requirements for normal UEs in NTN scenario. The condition can be CondEvent D1 and CondEvent T1 etc. However, RAN4 is discussing whether and how to define the requirements for RedCap UEs in NTN scenario. We shall based on the following one or two aspects to analyze this requirement.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i/>
          <w:iCs/>
          <w:sz w:val="20"/>
          <w:u w:val="single"/>
          <w:lang w:val="en-US" w:eastAsia="zh-CN"/>
        </w:rPr>
        <w:t>Whether to define the conditional handover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know that RAN2 has already discussed the related IEs for conditional handover in legacy as below:</w:t>
      </w:r>
    </w:p>
    <w:tbl>
      <w:tblPr>
        <w:tblStyle w:val="3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45"/>
              <w:rPr>
                <w:rFonts w:cs="Arial"/>
                <w:b/>
                <w:bCs/>
                <w:i/>
                <w:iCs/>
                <w:szCs w:val="18"/>
              </w:rPr>
            </w:pPr>
            <w:r>
              <w:rPr>
                <w:rFonts w:cs="Arial"/>
                <w:b/>
                <w:bCs/>
                <w:i/>
                <w:iCs/>
                <w:szCs w:val="18"/>
              </w:rPr>
              <w:t>condHandover-r16</w:t>
            </w:r>
          </w:p>
          <w:p>
            <w:pPr>
              <w:pStyle w:val="45"/>
              <w:rPr>
                <w:b/>
                <w:i/>
              </w:rPr>
            </w:pPr>
            <w:r>
              <w:rPr>
                <w:rFonts w:eastAsia="MS PGothic" w:cs="Arial"/>
                <w:szCs w:val="18"/>
                <w:highlight w:val="yellow"/>
              </w:rPr>
              <w:t>Indicates whether the UE supports conditional handover</w:t>
            </w:r>
            <w:r>
              <w:rPr>
                <w:rFonts w:eastAsia="MS PGothic" w:cs="Arial"/>
                <w:szCs w:val="18"/>
              </w:rPr>
              <w:t xml:space="preserve">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bands and all TDD-FR2-2 bands respectively. </w:t>
            </w:r>
            <w:r>
              <w:rPr>
                <w:rFonts w:eastAsia="MS PGothic" w:cs="Arial"/>
                <w:szCs w:val="18"/>
                <w:highlight w:val="yellow"/>
              </w:rPr>
              <w:t>For NTN, UE shall set the capability value consistently for all FDD-FR1 NTN bands</w:t>
            </w:r>
            <w:r>
              <w:rPr>
                <w:rFonts w:eastAsia="MS PGothic" w:cs="Arial"/>
                <w:szCs w:val="18"/>
              </w:rPr>
              <w:t xml:space="preserve"> </w:t>
            </w:r>
            <w:r>
              <w:rPr>
                <w:bCs/>
                <w:iCs/>
              </w:rPr>
              <w:t xml:space="preserve">and all </w:t>
            </w:r>
            <w:r>
              <w:rPr>
                <w:rFonts w:eastAsia="宋体"/>
                <w:bCs/>
                <w:iCs/>
                <w:lang w:eastAsia="zh-CN"/>
              </w:rPr>
              <w:t>F</w:t>
            </w:r>
            <w:r>
              <w:rPr>
                <w:bCs/>
                <w:iCs/>
              </w:rPr>
              <w:t>DD-FR2 NTN bands respectively</w:t>
            </w:r>
            <w:r>
              <w:rPr>
                <w:rFonts w:eastAsia="MS PGothic" w:cs="Arial"/>
                <w:szCs w:val="18"/>
              </w:rPr>
              <w:t>.</w:t>
            </w:r>
          </w:p>
        </w:tc>
        <w:tc>
          <w:tcPr>
            <w:tcW w:w="709" w:type="dxa"/>
          </w:tcPr>
          <w:p>
            <w:pPr>
              <w:pStyle w:val="45"/>
              <w:jc w:val="center"/>
            </w:pPr>
            <w:r>
              <w:rPr>
                <w:rFonts w:eastAsia="MS Mincho" w:cs="Arial"/>
                <w:bCs/>
                <w:iCs/>
                <w:szCs w:val="18"/>
              </w:rPr>
              <w:t>Band</w:t>
            </w:r>
          </w:p>
        </w:tc>
        <w:tc>
          <w:tcPr>
            <w:tcW w:w="567" w:type="dxa"/>
          </w:tcPr>
          <w:p>
            <w:pPr>
              <w:pStyle w:val="45"/>
              <w:jc w:val="center"/>
            </w:pPr>
            <w:r>
              <w:rPr>
                <w:rFonts w:eastAsia="MS Mincho" w:cs="Arial"/>
                <w:bCs/>
                <w:iCs/>
                <w:szCs w:val="18"/>
              </w:rPr>
              <w:t>No</w:t>
            </w:r>
          </w:p>
        </w:tc>
        <w:tc>
          <w:tcPr>
            <w:tcW w:w="709" w:type="dxa"/>
          </w:tcPr>
          <w:p>
            <w:pPr>
              <w:pStyle w:val="45"/>
              <w:jc w:val="center"/>
              <w:rPr>
                <w:bCs/>
                <w:iCs/>
              </w:rPr>
            </w:pPr>
            <w:r>
              <w:rPr>
                <w:bCs/>
                <w:iCs/>
              </w:rPr>
              <w:t>N/A</w:t>
            </w:r>
          </w:p>
        </w:tc>
        <w:tc>
          <w:tcPr>
            <w:tcW w:w="728" w:type="dxa"/>
          </w:tcPr>
          <w:p>
            <w:pPr>
              <w:pStyle w:val="45"/>
              <w:jc w:val="center"/>
              <w:rPr>
                <w:bCs/>
                <w:iCs/>
              </w:rPr>
            </w:pPr>
            <w:r>
              <w:rPr>
                <w:bCs/>
                <w:iCs/>
              </w:rPr>
              <w:t>N/A</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ins w:id="0" w:author="ZTE Derrick meeting-pre" w:date="2024-09-30T15:44:02Z"/>
          <w:rFonts w:hint="eastAsia" w:eastAsia="宋体"/>
          <w:sz w:val="20"/>
          <w:szCs w:val="20"/>
          <w:lang w:val="en-US" w:eastAsia="zh-CN"/>
        </w:rPr>
      </w:pPr>
      <w:r>
        <w:rPr>
          <w:rFonts w:hint="eastAsia" w:eastAsia="宋体"/>
          <w:sz w:val="20"/>
          <w:szCs w:val="20"/>
          <w:lang w:val="en-US" w:eastAsia="zh-CN"/>
        </w:rPr>
        <w:t xml:space="preserve">The most important thing is that RAN2 did not exclude and distinguish the type of UE, that is, the above table applies for normal UE and RedCap UE on conditional handover. Thus, we deem that actually RAN2 defined the signalling for  conditional handover which is also apply for RedCap UEs in TN and NTN.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NTN specific conditional handover signalling, the following table can be seen:</w:t>
      </w:r>
    </w:p>
    <w:tbl>
      <w:tblPr>
        <w:tblStyle w:val="3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45"/>
              <w:rPr>
                <w:b/>
                <w:bCs/>
                <w:i/>
                <w:iCs/>
              </w:rPr>
            </w:pPr>
            <w:r>
              <w:rPr>
                <w:b/>
                <w:bCs/>
                <w:i/>
                <w:iCs/>
              </w:rPr>
              <w:t>locationBasedCondHandover-r17</w:t>
            </w:r>
          </w:p>
          <w:p>
            <w:pPr>
              <w:pStyle w:val="45"/>
              <w:rPr>
                <w:b/>
                <w:i/>
              </w:rPr>
            </w:pPr>
            <w:r>
              <w:t xml:space="preserve">Indicates whether the UE supports location based conditional handover, i.e., </w:t>
            </w:r>
            <w:r>
              <w:rPr>
                <w:i/>
                <w:iCs/>
              </w:rPr>
              <w:t>CondEvent D1</w:t>
            </w:r>
            <w:r>
              <w:t xml:space="preserve"> as specified in TS 38.331 [9].</w:t>
            </w:r>
            <w:r>
              <w:rPr>
                <w:highlight w:val="yellow"/>
              </w:rPr>
              <w:t xml:space="preserve"> A UE supporting this feature shall also indicate the support of </w:t>
            </w:r>
            <w:r>
              <w:rPr>
                <w:i/>
                <w:iCs/>
                <w:highlight w:val="yellow"/>
              </w:rPr>
              <w:t>condHandover-r16</w:t>
            </w:r>
            <w:r>
              <w:rPr>
                <w:highlight w:val="yellow"/>
              </w:rPr>
              <w:t xml:space="preserve"> for NTN bands and the </w:t>
            </w:r>
            <w:r>
              <w:rPr>
                <w:rFonts w:eastAsia="MS PGothic" w:cs="Arial"/>
                <w:szCs w:val="18"/>
                <w:highlight w:val="yellow"/>
              </w:rPr>
              <w:t xml:space="preserve">support of </w:t>
            </w:r>
            <w:r>
              <w:rPr>
                <w:rFonts w:eastAsia="MS PGothic" w:cs="Arial"/>
                <w:i/>
                <w:iCs/>
                <w:szCs w:val="18"/>
                <w:highlight w:val="yellow"/>
              </w:rPr>
              <w:t>nonTerrestrialNetwork-r17</w:t>
            </w:r>
            <w:r>
              <w:rPr>
                <w:rFonts w:eastAsia="MS PGothic" w:cs="Arial"/>
                <w:szCs w:val="18"/>
                <w:highlight w:val="yellow"/>
              </w:rPr>
              <w:t>.</w:t>
            </w:r>
            <w:r>
              <w:t xml:space="preserve"> </w:t>
            </w:r>
            <w:r>
              <w:rPr>
                <w:rFonts w:eastAsia="MS PGothic" w:cs="Arial"/>
                <w:szCs w:val="18"/>
              </w:rPr>
              <w:t>UE shall set the capability value consistently for all FDD-FR1 NTN bands</w:t>
            </w:r>
            <w:r>
              <w:rPr>
                <w:bCs/>
                <w:iCs/>
              </w:rPr>
              <w:t xml:space="preserve"> and all </w:t>
            </w:r>
            <w:r>
              <w:rPr>
                <w:rFonts w:eastAsia="宋体"/>
                <w:bCs/>
                <w:iCs/>
                <w:lang w:eastAsia="zh-CN"/>
              </w:rPr>
              <w:t>F</w:t>
            </w:r>
            <w:r>
              <w:rPr>
                <w:bCs/>
                <w:iCs/>
              </w:rPr>
              <w:t>DD-FR2 NTN bands respectively</w:t>
            </w:r>
            <w:r>
              <w:rPr>
                <w:rFonts w:eastAsia="MS PGothic" w:cs="Arial"/>
                <w:szCs w:val="18"/>
              </w:rPr>
              <w:t>.</w:t>
            </w:r>
          </w:p>
        </w:tc>
        <w:tc>
          <w:tcPr>
            <w:tcW w:w="709" w:type="dxa"/>
          </w:tcPr>
          <w:p>
            <w:pPr>
              <w:pStyle w:val="45"/>
              <w:jc w:val="center"/>
              <w:rPr>
                <w:bCs/>
                <w:iCs/>
              </w:rPr>
            </w:pPr>
            <w:r>
              <w:t>Band</w:t>
            </w:r>
          </w:p>
        </w:tc>
        <w:tc>
          <w:tcPr>
            <w:tcW w:w="567" w:type="dxa"/>
          </w:tcPr>
          <w:p>
            <w:pPr>
              <w:pStyle w:val="45"/>
              <w:jc w:val="center"/>
            </w:pPr>
            <w:r>
              <w:rPr>
                <w:rFonts w:cs="Arial"/>
                <w:bCs/>
                <w:iCs/>
                <w:szCs w:val="18"/>
              </w:rPr>
              <w:t>No</w:t>
            </w:r>
          </w:p>
        </w:tc>
        <w:tc>
          <w:tcPr>
            <w:tcW w:w="709" w:type="dxa"/>
          </w:tcPr>
          <w:p>
            <w:pPr>
              <w:pStyle w:val="45"/>
              <w:jc w:val="center"/>
              <w:rPr>
                <w:bCs/>
                <w:iCs/>
              </w:rPr>
            </w:pPr>
            <w:r>
              <w:rPr>
                <w:bCs/>
                <w:iCs/>
              </w:rPr>
              <w:t>N/A</w:t>
            </w:r>
          </w:p>
        </w:tc>
        <w:tc>
          <w:tcPr>
            <w:tcW w:w="728" w:type="dxa"/>
          </w:tcPr>
          <w:p>
            <w:pPr>
              <w:pStyle w:val="45"/>
              <w:jc w:val="center"/>
              <w:rPr>
                <w:bCs/>
                <w:iCs/>
              </w:rPr>
            </w:pPr>
            <w:r>
              <w:rPr>
                <w:rFonts w:cs="Arial"/>
                <w:bCs/>
                <w:iCs/>
                <w:szCs w:val="18"/>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45"/>
              <w:rPr>
                <w:b/>
                <w:bCs/>
                <w:i/>
                <w:iCs/>
              </w:rPr>
            </w:pPr>
            <w:r>
              <w:rPr>
                <w:b/>
                <w:bCs/>
                <w:i/>
                <w:iCs/>
              </w:rPr>
              <w:t>timeBasedCondHandover-r17</w:t>
            </w:r>
          </w:p>
          <w:p>
            <w:pPr>
              <w:pStyle w:val="45"/>
              <w:rPr>
                <w:b/>
                <w:bCs/>
                <w:i/>
                <w:iCs/>
              </w:rPr>
            </w:pPr>
            <w:r>
              <w:t xml:space="preserve">Indicates whether the UE supports time based conditional handover, i.e., </w:t>
            </w:r>
            <w:r>
              <w:rPr>
                <w:i/>
                <w:iCs/>
                <w:lang w:eastAsia="ko-KR"/>
              </w:rPr>
              <w:t>CondEvent T1</w:t>
            </w:r>
            <w:r>
              <w:rPr>
                <w:lang w:eastAsia="ko-KR"/>
              </w:rPr>
              <w:t xml:space="preserve"> as specified in </w:t>
            </w:r>
            <w:r>
              <w:t>TS 38.331 [9].</w:t>
            </w:r>
            <w:r>
              <w:rPr>
                <w:highlight w:val="yellow"/>
              </w:rPr>
              <w:t xml:space="preserve"> A UE supporting this feature shall also indicate the support of </w:t>
            </w:r>
            <w:r>
              <w:rPr>
                <w:i/>
                <w:iCs/>
                <w:highlight w:val="yellow"/>
              </w:rPr>
              <w:t>condHandover-r16</w:t>
            </w:r>
            <w:r>
              <w:rPr>
                <w:highlight w:val="yellow"/>
              </w:rPr>
              <w:t xml:space="preserve"> for NTN bands and the </w:t>
            </w:r>
            <w:r>
              <w:rPr>
                <w:rFonts w:eastAsia="MS PGothic" w:cs="Arial"/>
                <w:szCs w:val="18"/>
                <w:highlight w:val="yellow"/>
              </w:rPr>
              <w:t xml:space="preserve">support of </w:t>
            </w:r>
            <w:r>
              <w:rPr>
                <w:rFonts w:eastAsia="MS PGothic" w:cs="Arial"/>
                <w:i/>
                <w:iCs/>
                <w:szCs w:val="18"/>
                <w:highlight w:val="yellow"/>
              </w:rPr>
              <w:t>nonTerrestrialNetwork-r17</w:t>
            </w:r>
            <w:r>
              <w:rPr>
                <w:rFonts w:eastAsia="MS PGothic" w:cs="Arial"/>
                <w:szCs w:val="18"/>
                <w:highlight w:val="yellow"/>
              </w:rPr>
              <w:t>.</w:t>
            </w:r>
            <w:r>
              <w:t xml:space="preserve"> </w:t>
            </w:r>
            <w:r>
              <w:rPr>
                <w:rFonts w:eastAsia="MS PGothic" w:cs="Arial"/>
                <w:szCs w:val="18"/>
              </w:rPr>
              <w:t>UE shall set the capability value consistently for all FDD-FR1 NTN bands</w:t>
            </w:r>
            <w:r>
              <w:rPr>
                <w:bCs/>
                <w:iCs/>
              </w:rPr>
              <w:t xml:space="preserve"> and all </w:t>
            </w:r>
            <w:r>
              <w:rPr>
                <w:rFonts w:eastAsia="宋体"/>
                <w:bCs/>
                <w:iCs/>
                <w:lang w:eastAsia="zh-CN"/>
              </w:rPr>
              <w:t>F</w:t>
            </w:r>
            <w:r>
              <w:rPr>
                <w:bCs/>
                <w:iCs/>
              </w:rPr>
              <w:t>DD-FR2 NTN bands respectively</w:t>
            </w:r>
            <w:r>
              <w:rPr>
                <w:rFonts w:eastAsia="MS PGothic" w:cs="Arial"/>
                <w:szCs w:val="18"/>
              </w:rPr>
              <w:t>.</w:t>
            </w:r>
          </w:p>
        </w:tc>
        <w:tc>
          <w:tcPr>
            <w:tcW w:w="709" w:type="dxa"/>
          </w:tcPr>
          <w:p>
            <w:pPr>
              <w:pStyle w:val="45"/>
              <w:jc w:val="center"/>
              <w:rPr>
                <w:rFonts w:cs="Arial"/>
                <w:szCs w:val="18"/>
              </w:rPr>
            </w:pPr>
            <w:r>
              <w:t>Band</w:t>
            </w:r>
          </w:p>
        </w:tc>
        <w:tc>
          <w:tcPr>
            <w:tcW w:w="567" w:type="dxa"/>
          </w:tcPr>
          <w:p>
            <w:pPr>
              <w:pStyle w:val="45"/>
              <w:jc w:val="center"/>
              <w:rPr>
                <w:rFonts w:cs="Arial"/>
                <w:bCs/>
                <w:iCs/>
                <w:szCs w:val="18"/>
              </w:rPr>
            </w:pPr>
            <w:r>
              <w:rPr>
                <w:rFonts w:cs="Arial"/>
                <w:bCs/>
                <w:iCs/>
                <w:szCs w:val="18"/>
              </w:rPr>
              <w:t>No</w:t>
            </w:r>
          </w:p>
        </w:tc>
        <w:tc>
          <w:tcPr>
            <w:tcW w:w="709" w:type="dxa"/>
          </w:tcPr>
          <w:p>
            <w:pPr>
              <w:pStyle w:val="45"/>
              <w:jc w:val="center"/>
              <w:rPr>
                <w:bCs/>
                <w:iCs/>
              </w:rPr>
            </w:pPr>
            <w:r>
              <w:rPr>
                <w:bCs/>
                <w:iCs/>
              </w:rPr>
              <w:t>N/A</w:t>
            </w:r>
          </w:p>
        </w:tc>
        <w:tc>
          <w:tcPr>
            <w:tcW w:w="728" w:type="dxa"/>
          </w:tcPr>
          <w:p>
            <w:pPr>
              <w:pStyle w:val="45"/>
              <w:jc w:val="center"/>
              <w:rPr>
                <w:bCs/>
                <w:iCs/>
              </w:rPr>
            </w:pPr>
            <w:r>
              <w:rPr>
                <w:rFonts w:cs="Arial"/>
                <w:bCs/>
                <w:iCs/>
                <w:szCs w:val="18"/>
              </w:rPr>
              <w:t>N/A</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b w:val="0"/>
          <w:bCs w:val="0"/>
          <w:sz w:val="20"/>
          <w:lang w:val="en-US" w:eastAsia="zh-CN"/>
        </w:rPr>
        <w:t xml:space="preserve">Based on the above table, we know if the UE which can be normal UE or RedCap UE with the same understanding supports </w:t>
      </w:r>
      <w:r>
        <w:rPr>
          <w:rFonts w:hint="eastAsia" w:eastAsia="宋体" w:cs="Times New Roman"/>
          <w:b w:val="0"/>
          <w:bCs w:val="0"/>
          <w:i/>
          <w:iCs/>
          <w:sz w:val="20"/>
          <w:lang w:val="en-US" w:eastAsia="zh-CN"/>
        </w:rPr>
        <w:t>condHandover-r16</w:t>
      </w:r>
      <w:r>
        <w:rPr>
          <w:rFonts w:hint="eastAsia" w:eastAsia="宋体" w:cs="Times New Roman"/>
          <w:b w:val="0"/>
          <w:bCs w:val="0"/>
          <w:sz w:val="20"/>
          <w:lang w:val="en-US" w:eastAsia="zh-CN"/>
        </w:rPr>
        <w:t xml:space="preserve"> and </w:t>
      </w:r>
      <w:r>
        <w:rPr>
          <w:rFonts w:hint="eastAsia" w:eastAsia="宋体" w:cs="Times New Roman"/>
          <w:b w:val="0"/>
          <w:bCs w:val="0"/>
          <w:i/>
          <w:iCs/>
          <w:sz w:val="20"/>
          <w:lang w:val="en-US" w:eastAsia="zh-CN"/>
        </w:rPr>
        <w:t>nonTerrestrialNetwork-r17</w:t>
      </w:r>
      <w:r>
        <w:rPr>
          <w:rFonts w:hint="eastAsia" w:eastAsia="宋体" w:cs="Times New Roman"/>
          <w:b w:val="0"/>
          <w:bCs w:val="0"/>
          <w:sz w:val="20"/>
          <w:lang w:val="en-US" w:eastAsia="zh-CN"/>
        </w:rPr>
        <w:t>, the location-based and time-based conditional handover can be applied in NTN scenario.</w:t>
      </w:r>
    </w:p>
    <w:tbl>
      <w:tblPr>
        <w:tblStyle w:val="31"/>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45"/>
        <w:gridCol w:w="710"/>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45"/>
              <w:rPr>
                <w:b/>
                <w:i/>
              </w:rPr>
            </w:pPr>
            <w:r>
              <w:rPr>
                <w:b/>
                <w:i/>
              </w:rPr>
              <w:t>nonTerrestrialNetwork-r17</w:t>
            </w:r>
          </w:p>
          <w:p>
            <w:pPr>
              <w:pStyle w:val="45"/>
              <w:rPr>
                <w:b/>
                <w:i/>
              </w:rPr>
            </w:pPr>
            <w:r>
              <w:rPr>
                <w:bCs/>
                <w:iCs/>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pPr>
              <w:pStyle w:val="45"/>
              <w:jc w:val="center"/>
              <w:rPr>
                <w:rFonts w:cs="Arial"/>
                <w:bCs/>
                <w:iCs/>
                <w:szCs w:val="18"/>
              </w:rPr>
            </w:pPr>
            <w:r>
              <w:rPr>
                <w:rFonts w:cs="Arial"/>
                <w:bCs/>
                <w:iCs/>
                <w:szCs w:val="18"/>
              </w:rPr>
              <w:t>UE</w:t>
            </w:r>
          </w:p>
        </w:tc>
        <w:tc>
          <w:tcPr>
            <w:tcW w:w="567" w:type="dxa"/>
          </w:tcPr>
          <w:p>
            <w:pPr>
              <w:pStyle w:val="45"/>
              <w:jc w:val="center"/>
              <w:rPr>
                <w:rFonts w:cs="Arial"/>
                <w:bCs/>
                <w:iCs/>
                <w:szCs w:val="18"/>
              </w:rPr>
            </w:pPr>
            <w:r>
              <w:rPr>
                <w:rFonts w:cs="Arial"/>
                <w:bCs/>
                <w:iCs/>
                <w:szCs w:val="18"/>
              </w:rPr>
              <w:t>No</w:t>
            </w:r>
          </w:p>
        </w:tc>
        <w:tc>
          <w:tcPr>
            <w:tcW w:w="709" w:type="dxa"/>
          </w:tcPr>
          <w:p>
            <w:pPr>
              <w:pStyle w:val="45"/>
              <w:jc w:val="center"/>
              <w:rPr>
                <w:rFonts w:cs="Arial"/>
                <w:bCs/>
                <w:iCs/>
                <w:szCs w:val="18"/>
              </w:rPr>
            </w:pPr>
            <w:r>
              <w:rPr>
                <w:rFonts w:cs="Arial"/>
                <w:bCs/>
                <w:iCs/>
                <w:szCs w:val="18"/>
              </w:rPr>
              <w:t>No</w:t>
            </w:r>
          </w:p>
        </w:tc>
        <w:tc>
          <w:tcPr>
            <w:tcW w:w="708" w:type="dxa"/>
          </w:tcPr>
          <w:p>
            <w:pPr>
              <w:pStyle w:val="45"/>
              <w:jc w:val="center"/>
            </w:pPr>
            <w:r>
              <w:t>No</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 In  the last meeting, we had the agreement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-1</w:t>
            </w:r>
            <w:r>
              <w:rPr>
                <w:rFonts w:hint="eastAsia" w:ascii="Times New Roman" w:hAnsi="Times New Roman" w:cs="Times New Roman"/>
                <w:sz w:val="20"/>
                <w:u w:val="single"/>
                <w:lang w:eastAsia="zh-CN"/>
              </w:rPr>
              <w:t>-3</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T</w:t>
            </w:r>
            <w:r>
              <w:rPr>
                <w:rFonts w:ascii="Times New Roman" w:hAnsi="Times New Roman" w:cs="Times New Roman"/>
                <w:sz w:val="20"/>
                <w:u w:val="single"/>
                <w:lang w:eastAsia="zh-CN"/>
              </w:rPr>
              <w:t>he satellite types</w:t>
            </w:r>
            <w:r>
              <w:rPr>
                <w:rFonts w:hint="eastAsia" w:ascii="Times New Roman" w:hAnsi="Times New Roman" w:cs="Times New Roman"/>
                <w:sz w:val="20"/>
                <w:u w:val="single"/>
                <w:lang w:eastAsia="zh-CN"/>
              </w:rPr>
              <w:t xml:space="preserve"> </w:t>
            </w:r>
            <w:r>
              <w:rPr>
                <w:rFonts w:ascii="Times New Roman" w:hAnsi="Times New Roman" w:cs="Times New Roman"/>
                <w:sz w:val="20"/>
                <w:u w:val="single"/>
                <w:lang w:eastAsia="ko-KR"/>
              </w:rPr>
              <w:t>considered for (e)Redcap UE with FR1-NTN</w:t>
            </w:r>
          </w:p>
          <w:p>
            <w:pPr>
              <w:rPr>
                <w:rFonts w:hint="eastAsia"/>
                <w:b/>
                <w:bCs/>
                <w:szCs w:val="24"/>
                <w:lang w:val="en-GB" w:eastAsia="zh-CN"/>
              </w:rPr>
            </w:pPr>
            <w:r>
              <w:rPr>
                <w:b/>
              </w:rPr>
              <w:t>&lt;</w:t>
            </w:r>
            <w:r>
              <w:rPr>
                <w:rFonts w:hint="eastAsia"/>
                <w:b/>
                <w:lang w:eastAsia="zh-CN"/>
              </w:rPr>
              <w:t>Agreements</w:t>
            </w:r>
            <w:r>
              <w:rPr>
                <w:b/>
              </w:rPr>
              <w:t>&gt;</w:t>
            </w:r>
          </w:p>
          <w:p>
            <w:pPr>
              <w:pStyle w:val="74"/>
              <w:numPr>
                <w:ilvl w:val="0"/>
                <w:numId w:val="5"/>
              </w:numPr>
              <w:spacing w:after="120"/>
              <w:ind w:left="720"/>
              <w:contextualSpacing w:val="0"/>
              <w:rPr>
                <w:szCs w:val="24"/>
                <w:lang w:eastAsia="zh-CN"/>
              </w:rPr>
            </w:pPr>
            <w:r>
              <w:rPr>
                <w:szCs w:val="24"/>
                <w:lang w:eastAsia="zh-CN"/>
              </w:rPr>
              <w:t>For RRM requirements, the satellite types considered for (e)Redcap UE with FR1-NTN bands include both GSO and Non-GSO.</w:t>
            </w:r>
          </w:p>
          <w:p>
            <w:pPr>
              <w:spacing w:after="120"/>
              <w:rPr>
                <w:rFonts w:eastAsiaTheme="minorEastAsia"/>
                <w:iCs/>
                <w:lang w:eastAsia="zh-CN"/>
              </w:rPr>
            </w:pPr>
          </w:p>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bookmarkStart w:id="5" w:name="OLE_LINK72"/>
            <w:bookmarkStart w:id="6" w:name="OLE_LINK71"/>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-1</w:t>
            </w:r>
            <w:r>
              <w:rPr>
                <w:rFonts w:hint="eastAsia" w:ascii="Times New Roman" w:hAnsi="Times New Roman" w:cs="Times New Roman"/>
                <w:sz w:val="20"/>
                <w:u w:val="single"/>
                <w:lang w:eastAsia="zh-CN"/>
              </w:rPr>
              <w:t>-4</w:t>
            </w:r>
            <w:bookmarkEnd w:id="5"/>
            <w:bookmarkEnd w:id="6"/>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T</w:t>
            </w:r>
            <w:r>
              <w:rPr>
                <w:rFonts w:ascii="Times New Roman" w:hAnsi="Times New Roman" w:cs="Times New Roman"/>
                <w:sz w:val="20"/>
                <w:u w:val="single"/>
                <w:lang w:eastAsia="zh-CN"/>
              </w:rPr>
              <w:t>he capability</w:t>
            </w:r>
            <w:r>
              <w:rPr>
                <w:rFonts w:hint="eastAsia" w:ascii="Times New Roman" w:hAnsi="Times New Roman" w:cs="Times New Roman"/>
                <w:sz w:val="20"/>
                <w:u w:val="single"/>
                <w:lang w:eastAsia="zh-CN"/>
              </w:rPr>
              <w:t xml:space="preserve"> </w:t>
            </w:r>
            <w:r>
              <w:rPr>
                <w:rFonts w:ascii="Times New Roman" w:hAnsi="Times New Roman" w:cs="Times New Roman"/>
                <w:sz w:val="20"/>
                <w:u w:val="single"/>
                <w:lang w:eastAsia="ko-KR"/>
              </w:rPr>
              <w:t>considered for (e)Redcap UE with FR1-NTN</w:t>
            </w:r>
          </w:p>
          <w:p>
            <w:pPr>
              <w:rPr>
                <w:b/>
                <w:bCs/>
                <w:szCs w:val="24"/>
                <w:lang w:val="en-GB" w:eastAsia="zh-CN"/>
              </w:rPr>
            </w:pPr>
            <w:r>
              <w:rPr>
                <w:b/>
              </w:rPr>
              <w:t>&lt;</w:t>
            </w:r>
            <w:r>
              <w:rPr>
                <w:rFonts w:hint="eastAsia"/>
                <w:b/>
                <w:lang w:eastAsia="zh-CN"/>
              </w:rPr>
              <w:t>Agreements</w:t>
            </w:r>
            <w:r>
              <w:rPr>
                <w:b/>
              </w:rPr>
              <w:t xml:space="preserve">&gt; </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vertAlign w:val="baseline"/>
                <w:lang w:val="en-US" w:eastAsia="zh-CN"/>
              </w:rPr>
            </w:pPr>
            <w:r>
              <w:rPr>
                <w:szCs w:val="24"/>
                <w:lang w:eastAsia="zh-CN"/>
              </w:rPr>
              <w:t xml:space="preserve">GNSS capabilities and simultaneous GNSS and NR-NTN operation is supported </w:t>
            </w:r>
            <w:r>
              <w:rPr>
                <w:rFonts w:hint="eastAsia"/>
                <w:szCs w:val="24"/>
                <w:lang w:eastAsia="zh-CN"/>
              </w:rPr>
              <w:t xml:space="preserve">for </w:t>
            </w:r>
            <w:r>
              <w:rPr>
                <w:szCs w:val="24"/>
                <w:lang w:eastAsia="zh-CN"/>
              </w:rPr>
              <w:t>(e)Redcap UE with FR1-NTN.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 xml:space="preserve">We see RedCap UEs support the NR NTN access and GNSS capability. Thus, RedCap UEs not only support the </w:t>
      </w:r>
      <w:r>
        <w:rPr>
          <w:rFonts w:hint="eastAsia" w:eastAsia="宋体" w:cs="Times New Roman"/>
          <w:b w:val="0"/>
          <w:bCs w:val="0"/>
          <w:i/>
          <w:iCs/>
          <w:sz w:val="20"/>
          <w:lang w:val="en-US" w:eastAsia="zh-CN"/>
        </w:rPr>
        <w:t>condHandover-r16</w:t>
      </w:r>
      <w:r>
        <w:rPr>
          <w:rFonts w:hint="eastAsia" w:eastAsia="宋体" w:cs="Times New Roman"/>
          <w:b w:val="0"/>
          <w:bCs w:val="0"/>
          <w:sz w:val="20"/>
          <w:lang w:val="en-US" w:eastAsia="zh-CN"/>
        </w:rPr>
        <w:t xml:space="preserve"> but </w:t>
      </w:r>
      <w:r>
        <w:rPr>
          <w:rFonts w:hint="eastAsia" w:eastAsia="宋体" w:cs="Times New Roman"/>
          <w:b w:val="0"/>
          <w:bCs w:val="0"/>
          <w:i/>
          <w:iCs/>
          <w:sz w:val="20"/>
          <w:lang w:val="en-US" w:eastAsia="zh-CN"/>
        </w:rPr>
        <w:t>nonTerrestrialNetwork-r17</w:t>
      </w:r>
      <w:r>
        <w:rPr>
          <w:rFonts w:hint="eastAsia" w:eastAsia="宋体" w:cs="Times New Roman"/>
          <w:b w:val="0"/>
          <w:bCs w:val="0"/>
          <w:sz w:val="20"/>
          <w:lang w:val="en-US" w:eastAsia="zh-CN"/>
        </w:rPr>
        <w:t xml:space="preserve">. From RAN2 perspective, CHO for RedCap UEs in NTN scenario is not precluded.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17: RAN4 has not defined the requirements for RedCap UEs in TN in legacy. RAN4 has already defined the conditional handover requirements for normal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18: RAN2 did not exclude and distinguish the type of </w:t>
      </w:r>
      <w:r>
        <w:rPr>
          <w:rFonts w:hint="eastAsia"/>
          <w:b/>
          <w:bCs/>
          <w:sz w:val="20"/>
          <w:szCs w:val="20"/>
          <w:lang w:val="en-US" w:eastAsia="zh-CN"/>
        </w:rPr>
        <w:t>UE for legacy conditional handover in R16.</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19: If the UE supports </w:t>
      </w:r>
      <w:r>
        <w:rPr>
          <w:rFonts w:hint="eastAsia" w:eastAsia="宋体" w:cs="Times New Roman"/>
          <w:b/>
          <w:bCs/>
          <w:i/>
          <w:iCs/>
          <w:sz w:val="20"/>
          <w:szCs w:val="20"/>
          <w:lang w:val="en-US" w:eastAsia="zh-CN"/>
        </w:rPr>
        <w:t>condHandover-r16</w:t>
      </w:r>
      <w:r>
        <w:rPr>
          <w:rFonts w:hint="eastAsia" w:eastAsia="宋体" w:cs="Times New Roman"/>
          <w:b/>
          <w:bCs/>
          <w:sz w:val="20"/>
          <w:szCs w:val="20"/>
          <w:lang w:val="en-US" w:eastAsia="zh-CN"/>
        </w:rPr>
        <w:t xml:space="preserve"> and </w:t>
      </w:r>
      <w:r>
        <w:rPr>
          <w:rFonts w:hint="eastAsia" w:eastAsia="宋体" w:cs="Times New Roman"/>
          <w:b/>
          <w:bCs/>
          <w:i/>
          <w:iCs/>
          <w:sz w:val="20"/>
          <w:szCs w:val="20"/>
          <w:lang w:val="en-US" w:eastAsia="zh-CN"/>
        </w:rPr>
        <w:t>nonTerrestrialNetwork-r17</w:t>
      </w:r>
      <w:r>
        <w:rPr>
          <w:rFonts w:hint="eastAsia" w:eastAsia="宋体" w:cs="Times New Roman"/>
          <w:b/>
          <w:bCs/>
          <w:sz w:val="20"/>
          <w:szCs w:val="20"/>
          <w:lang w:val="en-US" w:eastAsia="zh-CN"/>
        </w:rPr>
        <w:t>, the location-based and time-based conditional handover can be applied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sz w:val="20"/>
          <w:szCs w:val="20"/>
          <w:lang w:val="en-US" w:eastAsia="zh-CN"/>
        </w:rPr>
      </w:pPr>
      <w:r>
        <w:rPr>
          <w:rFonts w:hint="eastAsia"/>
          <w:b/>
          <w:bCs/>
          <w:sz w:val="20"/>
          <w:szCs w:val="20"/>
          <w:lang w:val="en-US" w:eastAsia="zh-CN"/>
        </w:rPr>
        <w:t>Observation 20: From RAN2 perspective, CHO for RedCap UEs in NTN scenario is not precluded.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sz w:val="20"/>
          <w:szCs w:val="20"/>
          <w:lang w:val="en-US" w:eastAsia="zh-CN"/>
        </w:rPr>
      </w:pPr>
      <w:r>
        <w:rPr>
          <w:rFonts w:hint="eastAsia"/>
          <w:b/>
          <w:bCs/>
          <w:sz w:val="20"/>
          <w:szCs w:val="20"/>
          <w:lang w:val="en-US" w:eastAsia="zh-CN"/>
        </w:rPr>
        <w:t>Proposal 29: For RedCap UEs in NTN, RAN4 shall define the conditional handover requirements.</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i/>
          <w:iCs/>
          <w:sz w:val="20"/>
          <w:u w:val="single"/>
          <w:lang w:val="en-US" w:eastAsia="zh-CN"/>
        </w:rPr>
        <w:t>How to define the conditional handover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From our perspective, the conditional handover requirements for RedCap UEs in NTN shall be defined. The next step is to consider how to define the concrete requirements. Firstly, the legacy conditional handover requirements in NTN can be the baseline. Also, we shall consider the reduction of the UE receiving branches. Combined with these two aspects, the concrete requirements can be decided. </w:t>
      </w:r>
    </w:p>
    <w:p>
      <w:pPr>
        <w:pStyle w:val="37"/>
        <w:overflowPunct w:val="0"/>
        <w:autoSpaceDE w:val="0"/>
        <w:autoSpaceDN w:val="0"/>
        <w:adjustRightInd w:val="0"/>
        <w:spacing w:before="120" w:after="120" w:line="360" w:lineRule="auto"/>
        <w:jc w:val="center"/>
        <w:textAlignment w:val="baseline"/>
        <w:rPr>
          <w:rFonts w:hint="eastAsia" w:eastAsia="宋体" w:cs="Times New Roman"/>
          <w:b w:val="0"/>
          <w:bCs w:val="0"/>
          <w:sz w:val="20"/>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Based on the existing conditional handover delay, only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will be impacted by reduced UE receiving branches.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is the measurement time delay for identifying a new detectable intra-/inter-frequency cell which is defined in intra-/inter-frequency measurement. Thus, we deem that the legacy time period for PSS/SSS detection and time period for time index detection requirements for 1Rx and 2Rx RedCap UEs shall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30: The legacy time period for PSS/SSS detection and time period for time index detection requirements for 1Rx and 2Rx RedCap UEs shall be considered.</w:t>
      </w:r>
    </w:p>
    <w:p>
      <w:pPr>
        <w:pStyle w:val="7"/>
        <w:overflowPunct w:val="0"/>
        <w:autoSpaceDE w:val="0"/>
        <w:autoSpaceDN w:val="0"/>
        <w:adjustRightInd w:val="0"/>
        <w:spacing w:before="120" w:after="120" w:line="360" w:lineRule="auto"/>
        <w:jc w:val="both"/>
        <w:textAlignment w:val="baseline"/>
        <w:rPr>
          <w:rFonts w:hint="eastAsia" w:ascii="Times New Roman" w:hAnsi="Times New Roman" w:eastAsia="Times New Roman" w:cs="Times New Roman"/>
          <w:b w:val="0"/>
          <w:bCs w:val="0"/>
          <w:sz w:val="20"/>
          <w:lang w:val="en-US" w:eastAsia="zh-CN"/>
        </w:rPr>
      </w:pPr>
      <w:r>
        <w:rPr>
          <w:rFonts w:hint="eastAsia" w:eastAsia="Times New Roman" w:cs="Times New Roman"/>
          <w:b w:val="0"/>
          <w:bCs w:val="0"/>
          <w:sz w:val="20"/>
          <w:lang w:val="en-US" w:eastAsia="zh-CN"/>
        </w:rPr>
        <w:t xml:space="preserve">2.1.2.1.2.5 </w:t>
      </w:r>
      <w:r>
        <w:rPr>
          <w:rFonts w:hint="eastAsia" w:eastAsia="Times New Roman"/>
          <w:sz w:val="20"/>
          <w:szCs w:val="20"/>
          <w:vertAlign w:val="baseline"/>
          <w:lang w:val="en-US" w:eastAsia="zh-CN"/>
        </w:rPr>
        <w:t>Minimization of Derive Tests (MDT) in RRC Idle state and RRC Inactive state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minimization of derive tests, RAN4 mainly focus on the logged MDT which is different legacy derive tests. The general procedure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405505" cy="2729230"/>
            <wp:effectExtent l="0" t="0" r="8255" b="139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3405505" cy="27292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Figure  MDT procedure</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And for this part there are three parts shall be considered:</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measurements in RRC_IDLE state, reporting the logged measurement;</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RRC connection establishment failure, reporting the logged failure;</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radio link failure and handover failure, reporting the logged failure.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measurement requirements: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rPr>
            </w:pPr>
            <w:r>
              <w:rPr>
                <w:rFonts w:eastAsia="宋体"/>
              </w:rPr>
              <w:t>The requirements specified in this clause apply for the following measurements performed and logged by the UE for MDT in RRC_IDLE:</w:t>
            </w:r>
          </w:p>
          <w:p>
            <w:r>
              <w:t>-</w:t>
            </w:r>
            <w:r>
              <w:tab/>
            </w:r>
            <w:r>
              <w:t>SS-</w:t>
            </w:r>
            <w:r>
              <w:rPr>
                <w:rFonts w:hint="eastAsia"/>
              </w:rPr>
              <w:t>RSRP</w:t>
            </w:r>
            <w:r>
              <w:t xml:space="preserve"> per cell,</w:t>
            </w:r>
            <w:r>
              <w:rPr>
                <w:rFonts w:hint="eastAsia"/>
              </w:rPr>
              <w:t xml:space="preserve"> </w:t>
            </w:r>
          </w:p>
          <w:p>
            <w:r>
              <w:t>-</w:t>
            </w:r>
            <w:r>
              <w:tab/>
            </w:r>
            <w:r>
              <w:t>SS-</w:t>
            </w:r>
            <w:r>
              <w:rPr>
                <w:rFonts w:hint="eastAsia"/>
              </w:rPr>
              <w:t>RSRQ</w:t>
            </w:r>
            <w:r>
              <w:t xml:space="preserve"> per cell, </w:t>
            </w:r>
          </w:p>
          <w:p>
            <w:r>
              <w:t>-</w:t>
            </w:r>
            <w:r>
              <w:tab/>
            </w:r>
            <w:r>
              <w:t>SS-RSRP per SSB index</w:t>
            </w:r>
            <w:r>
              <w:rPr>
                <w:rFonts w:hint="eastAsia"/>
              </w:rPr>
              <w:t xml:space="preserve"> of the serving cell</w:t>
            </w:r>
            <w:r>
              <w:t>,</w:t>
            </w:r>
          </w:p>
          <w:p>
            <w:r>
              <w:t>-</w:t>
            </w:r>
            <w:r>
              <w:tab/>
            </w:r>
            <w:r>
              <w:t>SS-RSRQ per SSB index</w:t>
            </w:r>
            <w:r>
              <w:rPr>
                <w:rFonts w:hint="eastAsia"/>
              </w:rPr>
              <w:t xml:space="preserve"> of the serving cell</w:t>
            </w:r>
            <w:r>
              <w:t>,</w:t>
            </w:r>
          </w:p>
          <w:p>
            <w:r>
              <w:t>-</w:t>
            </w:r>
            <w:r>
              <w:tab/>
            </w:r>
            <w:r>
              <w:t>best SSB index of the serving cell,</w:t>
            </w:r>
          </w:p>
          <w:p>
            <w:r>
              <w:t>-</w:t>
            </w:r>
            <w:r>
              <w:tab/>
            </w:r>
            <w:r>
              <w:t xml:space="preserve">the number of SSBs with different SSB index which are above the threshold </w:t>
            </w:r>
            <w:r>
              <w:rPr>
                <w:i/>
              </w:rPr>
              <w:t>absThreshSS-BlocksConsolidation</w:t>
            </w:r>
            <w:r>
              <w:t xml:space="preserve"> for all detected cells whose cell-ranking criterion R value is within </w:t>
            </w:r>
            <w:r>
              <w:rPr>
                <w:i/>
              </w:rPr>
              <w:t>rangeToBestCell</w:t>
            </w:r>
            <w:r>
              <w:t xml:space="preserve"> of the cell-ranking criterion R value of the highest ranked cell. </w:t>
            </w:r>
          </w:p>
          <w:p>
            <w:pPr>
              <w:rPr>
                <w:rFonts w:eastAsia="宋体"/>
              </w:rPr>
            </w:pPr>
            <w:r>
              <w:rPr>
                <w:rFonts w:eastAsia="宋体"/>
              </w:rPr>
              <w:t>The requirements apply for the measurements included in logged MDT reports and RRC connection establishment failure reports.</w:t>
            </w:r>
          </w:p>
          <w:p>
            <w:pPr>
              <w:rPr>
                <w:rFonts w:eastAsia="宋体"/>
              </w:rPr>
            </w:pPr>
            <w:r>
              <w:rPr>
                <w:rFonts w:eastAsia="宋体"/>
              </w:rPr>
              <w:t>The measurement values that are used to meet</w:t>
            </w:r>
          </w:p>
          <w:p>
            <w:pPr>
              <w:overflowPunct/>
              <w:autoSpaceDE/>
              <w:autoSpaceDN/>
              <w:adjustRightInd/>
              <w:textAlignment w:val="auto"/>
            </w:pPr>
            <w:r>
              <w:t>serving cell and reselection requirements as specified in clauses 4.2C.2.</w:t>
            </w:r>
            <w:r>
              <w:rPr>
                <w:rFonts w:hint="eastAsia"/>
              </w:rPr>
              <w:t>2</w:t>
            </w:r>
            <w:r>
              <w:rPr/>
              <w:sym w:font="Symbol" w:char="F02D"/>
            </w:r>
            <w:r>
              <w:t>4.2C.2.</w:t>
            </w:r>
            <w:r>
              <w:rPr>
                <w:rFonts w:hint="eastAsia"/>
                <w:lang w:eastAsia="zh-CN"/>
              </w:rPr>
              <w:t>9</w:t>
            </w:r>
          </w:p>
          <w:p>
            <w:pPr>
              <w:overflowPunct/>
              <w:autoSpaceDE/>
              <w:autoSpaceDN/>
              <w:adjustRightInd/>
              <w:spacing w:before="0" w:after="0" w:line="240" w:lineRule="auto"/>
              <w:jc w:val="left"/>
              <w:textAlignment w:val="auto"/>
              <w:rPr>
                <w:rFonts w:hint="default" w:eastAsia="宋体" w:cs="Times New Roman"/>
                <w:b w:val="0"/>
                <w:bCs w:val="0"/>
                <w:sz w:val="20"/>
                <w:vertAlign w:val="baseline"/>
                <w:lang w:val="en-US" w:eastAsia="zh-CN"/>
              </w:rPr>
            </w:pPr>
            <w:r>
              <w:rPr>
                <w:rFonts w:eastAsia="宋体"/>
              </w:rPr>
              <w:t>shall also apply to values logged for MDT measurements in RRC_IDLE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deem that the legacy measurement requirements shall be reused.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The concrete accuracy requirements (relative time stamp)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cs="Times New Roman"/>
                <w:b w:val="0"/>
                <w:bCs w:val="0"/>
                <w:sz w:val="20"/>
                <w:vertAlign w:val="baseline"/>
                <w:lang w:val="en-US" w:eastAsia="zh-CN"/>
              </w:rPr>
            </w:pPr>
            <w:r>
              <w:rPr>
                <w:rFonts w:hint="eastAsia" w:eastAsia="宋体" w:cs="Times New Roman"/>
                <w:b w:val="0"/>
                <w:bCs w:val="0"/>
                <w:i/>
                <w:iCs/>
                <w:sz w:val="20"/>
                <w:vertAlign w:val="baseline"/>
                <w:lang w:val="en-US" w:eastAsia="zh-CN"/>
              </w:rPr>
              <w:t>For logged measurement</w:t>
            </w:r>
            <w:r>
              <w:rPr>
                <w:rFonts w:hint="eastAsia" w:eastAsia="宋体" w:cs="Times New Roman"/>
                <w:b w:val="0"/>
                <w:bCs w:val="0"/>
                <w:sz w:val="20"/>
                <w:vertAlign w:val="baseline"/>
                <w:lang w:val="en-US" w:eastAsia="zh-CN"/>
              </w:rPr>
              <w:t>:</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vertAlign w:val="baseline"/>
                <w:lang w:val="en-US" w:eastAsia="zh-CN"/>
              </w:rPr>
            </w:pPr>
            <w:r>
              <w:rPr>
                <w:rFonts w:eastAsia="宋体"/>
              </w:rPr>
              <w:t>The relative time stamp for a logged measurement is defined as the time from the moment the MDT configuration was received at the UE until the measurement was logged</w:t>
            </w:r>
            <w:r>
              <w:rPr>
                <w:rFonts w:hint="eastAsia" w:eastAsia="宋体"/>
                <w:lang w:val="en-US" w:eastAsia="zh-CN"/>
              </w:rPr>
              <w:t xml:space="preserve">. </w:t>
            </w:r>
            <w:r>
              <w:rPr>
                <w:rFonts w:eastAsia="宋体"/>
              </w:rPr>
              <w:t xml:space="preserve">The accuracy of the relative time stamping is such that the drift of the time stamping shall be </w:t>
            </w:r>
            <w:r>
              <w:rPr>
                <w:rFonts w:eastAsia="宋体"/>
                <w:highlight w:val="yellow"/>
              </w:rPr>
              <w:t>not more than ± 2 seconds per hour</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vertAlign w:val="baseline"/>
                <w:lang w:val="en-US" w:eastAsia="zh-CN"/>
              </w:rPr>
            </w:pPr>
            <w:r>
              <w:rPr>
                <w:rFonts w:hint="eastAsia" w:eastAsia="宋体" w:cs="Times New Roman"/>
                <w:b w:val="0"/>
                <w:bCs w:val="0"/>
                <w:i/>
                <w:iCs/>
                <w:sz w:val="20"/>
                <w:vertAlign w:val="baseline"/>
                <w:lang w:val="en-US" w:eastAsia="zh-CN"/>
              </w:rPr>
              <w:t>For RRC connection establishment failure log reporting</w:t>
            </w:r>
            <w:r>
              <w:rPr>
                <w:rFonts w:hint="eastAsia" w:eastAsia="宋体" w:cs="Times New Roman"/>
                <w:b w:val="0"/>
                <w:bCs w:val="0"/>
                <w:sz w:val="20"/>
                <w:vertAlign w:val="baseline"/>
                <w:lang w:val="en-US" w:eastAsia="zh-CN"/>
              </w:rPr>
              <w:t>:</w:t>
            </w:r>
          </w:p>
          <w:p>
            <w:pPr>
              <w:overflowPunct w:val="0"/>
              <w:autoSpaceDE w:val="0"/>
              <w:autoSpaceDN w:val="0"/>
              <w:adjustRightInd w:val="0"/>
              <w:spacing w:before="120" w:after="120" w:line="360" w:lineRule="auto"/>
              <w:jc w:val="both"/>
              <w:textAlignment w:val="baseline"/>
              <w:rPr>
                <w:rFonts w:eastAsia="宋体"/>
              </w:rPr>
            </w:pPr>
            <w:r>
              <w:rPr>
                <w:rFonts w:eastAsia="宋体"/>
              </w:rPr>
              <w:t>Relative time stamp for RRC connection establishment failure log reporting is defined as the time elapsed from the last RRC connection establishment failure to the time when the log is included in the report</w:t>
            </w:r>
            <w:r>
              <w:rPr>
                <w:rFonts w:hint="eastAsia" w:eastAsia="宋体"/>
                <w:lang w:val="en-US" w:eastAsia="zh-CN"/>
              </w:rPr>
              <w:t xml:space="preserve">. </w:t>
            </w:r>
            <w:r>
              <w:rPr>
                <w:rFonts w:eastAsia="宋体"/>
              </w:rPr>
              <w:t xml:space="preserve">The accuracy of the relative time stamping for RRC connection establishment failure log reporting is such that the drift of the time stamping shall </w:t>
            </w:r>
            <w:r>
              <w:rPr>
                <w:rFonts w:eastAsia="宋体"/>
                <w:highlight w:val="yellow"/>
              </w:rPr>
              <w:t>not be larger than ± 0.72 seconds per hour and ± 10 seconds over 48 hours</w:t>
            </w:r>
            <w:r>
              <w:rPr>
                <w:rFonts w:eastAsia="宋体"/>
              </w:rPr>
              <w:t>.</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i/>
                <w:iCs/>
                <w:lang w:val="en-US" w:eastAsia="zh-CN"/>
              </w:rPr>
              <w:t>For radio link failure and handover failure log reporting</w:t>
            </w:r>
            <w:r>
              <w:rPr>
                <w:rFonts w:hint="eastAsia" w:eastAsia="宋体"/>
                <w:lang w:val="en-US" w:eastAsia="zh-CN"/>
              </w:rPr>
              <w:t>:</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vertAlign w:val="baseline"/>
                <w:lang w:val="en-US" w:eastAsia="zh-CN"/>
              </w:rPr>
            </w:pPr>
            <w:r>
              <w:rPr>
                <w:rFonts w:eastAsia="宋体"/>
              </w:rPr>
              <w:t xml:space="preserve">Relative time stamp accuracy requirements for </w:t>
            </w:r>
            <w:r>
              <w:rPr>
                <w:rFonts w:eastAsia="宋体"/>
                <w:i/>
              </w:rPr>
              <w:t>timeSinceFailure</w:t>
            </w:r>
            <w:r>
              <w:rPr>
                <w:rFonts w:eastAsia="宋体"/>
              </w:rPr>
              <w:t xml:space="preserve"> reported for MDT in a radio link failure or handover failure log are specified. </w:t>
            </w:r>
            <w:r>
              <w:rPr>
                <w:rFonts w:eastAsia="宋体"/>
                <w:i/>
              </w:rPr>
              <w:t>timeSinceFailure</w:t>
            </w:r>
            <w:r>
              <w:rPr>
                <w:rFonts w:eastAsia="宋体"/>
              </w:rPr>
              <w:t xml:space="preserve"> determines the time elapsed from the last radio link failure or handover failure in </w:t>
            </w:r>
            <w:r>
              <w:rPr>
                <w:rFonts w:hint="eastAsia" w:eastAsia="宋体"/>
              </w:rPr>
              <w:t>NR</w:t>
            </w:r>
            <w:r>
              <w:rPr>
                <w:rFonts w:eastAsia="宋体"/>
              </w:rPr>
              <w:t xml:space="preserve"> to the time when the log is included in the report</w:t>
            </w:r>
            <w:r>
              <w:rPr>
                <w:rFonts w:hint="eastAsia" w:eastAsia="宋体"/>
                <w:lang w:val="en-US" w:eastAsia="zh-CN"/>
              </w:rPr>
              <w:t xml:space="preserve">. </w:t>
            </w:r>
            <w:r>
              <w:rPr>
                <w:rFonts w:eastAsia="宋体"/>
              </w:rPr>
              <w:t xml:space="preserve">The accuracy of the relative time stamping for </w:t>
            </w:r>
            <w:r>
              <w:rPr>
                <w:rFonts w:eastAsia="宋体"/>
                <w:i/>
              </w:rPr>
              <w:t>timeSinceFailure</w:t>
            </w:r>
            <w:r>
              <w:rPr>
                <w:rFonts w:eastAsia="宋体"/>
              </w:rPr>
              <w:t xml:space="preserve"> is such that the drift of the time stamping shall </w:t>
            </w:r>
            <w:r>
              <w:rPr>
                <w:rFonts w:eastAsia="宋体"/>
                <w:highlight w:val="yellow"/>
              </w:rPr>
              <w:t>not be larger than ± 0.72 seconds per hour and ± 10 seconds over 48 hours</w:t>
            </w:r>
            <w:r>
              <w:rPr>
                <w:rFonts w:eastAsia="宋体"/>
              </w:rPr>
              <w:t xml:space="preserv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hint="default" w:eastAsia="宋体"/>
          <w:sz w:val="20"/>
          <w:szCs w:val="20"/>
          <w:lang w:val="en-US" w:eastAsia="zh-CN"/>
        </w:rPr>
        <w:t>’</w:t>
      </w:r>
      <w:r>
        <w:rPr>
          <w:rFonts w:hint="eastAsia" w:eastAsia="宋体"/>
          <w:sz w:val="20"/>
          <w:szCs w:val="20"/>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21: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22: Whatever it</w:t>
      </w:r>
      <w:r>
        <w:rPr>
          <w:rFonts w:hint="default" w:eastAsia="宋体" w:cs="Times New Roman"/>
          <w:b/>
          <w:bCs/>
          <w:sz w:val="20"/>
          <w:szCs w:val="20"/>
          <w:lang w:val="en-US" w:eastAsia="zh-CN"/>
        </w:rPr>
        <w:t>’</w:t>
      </w:r>
      <w:r>
        <w:rPr>
          <w:rFonts w:hint="eastAsia" w:eastAsia="宋体" w:cs="Times New Roman"/>
          <w:b/>
          <w:bCs/>
          <w:sz w:val="20"/>
          <w:szCs w:val="20"/>
          <w:lang w:val="en-US" w:eastAsia="zh-CN"/>
        </w:rPr>
        <w:t>s the 1Rx UE or 2Rx UE, if the drift of time stamping for each measurement data collection is not more than the seconds in legacy, the requirements can be applied.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31: For measurement requirements, the legacy measurement requirements shall be reused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32: For accuracy relative time stamp requirements, RAN4 shall reuse the same drift of relative time stamp for 1Rx and 2Rx RedCap UEs in NTN.</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2.1.2.1.3 Unique requirements for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just discussed the requirements only for RedCap which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6800"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FFS: </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Configured Grant based Small Data Transmission (CG-SDT)</w:t>
            </w:r>
          </w:p>
          <w:p>
            <w:pPr>
              <w:numPr>
                <w:ilvl w:val="0"/>
                <w:numId w:val="16"/>
              </w:numPr>
              <w:overflowPunct w:val="0"/>
              <w:autoSpaceDE w:val="0"/>
              <w:autoSpaceDN w:val="0"/>
              <w:adjustRightInd w:val="0"/>
              <w:spacing w:before="120" w:after="120" w:line="360" w:lineRule="auto"/>
              <w:ind w:left="420" w:hanging="420"/>
              <w:jc w:val="both"/>
              <w:textAlignment w:val="baseline"/>
              <w:rPr>
                <w:rFonts w:hint="default" w:ascii="Times New Roman" w:hAnsi="Times New Roman" w:eastAsia="宋体" w:cs="Times New Roman"/>
                <w:b w:val="0"/>
                <w:bCs w:val="0"/>
                <w:sz w:val="20"/>
                <w:vertAlign w:val="baseline"/>
                <w:lang w:val="en-US" w:eastAsia="zh-CN"/>
              </w:rPr>
            </w:pPr>
            <w:r>
              <w:rPr>
                <w:rFonts w:hint="eastAsia" w:eastAsia="宋体" w:cs="Times New Roman"/>
                <w:b w:val="0"/>
                <w:bCs w:val="0"/>
                <w:sz w:val="20"/>
                <w:lang w:val="en-US" w:eastAsia="zh-CN"/>
              </w:rPr>
              <w:t>Random Access based Small Data Transmission (RA-SDT)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unique requirements for RedCap, we will analyze its feasibility for RedCap UEs in NTN scenario and then decide to whether define the related RRM requirements or not.</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2.1.2.1.3.1 Configured Grant based Small Data Transmission (CG-SDT)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CG-SDT, it likes the LTE PUR which does not need the PRACH process in order to reduce the overhead of the uplink resources and reduce the power consumption especially for the small data transmission.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b w:val="0"/>
          <w:bCs w:val="0"/>
          <w:sz w:val="20"/>
          <w:lang w:val="en-US" w:eastAsia="zh-CN"/>
        </w:rPr>
        <w:t>Based on the existing specification, t</w:t>
      </w:r>
      <w:r>
        <w:t>he UE is allowed to transmit using the configured uplink resources provided that the UE is synchronized towards the serving cell prior to transmission. If the UE is not able to obtain the synchronization towards the serving cell then the UE shall drop the small data transmission.</w:t>
      </w:r>
      <w:r>
        <w:rPr>
          <w:rFonts w:hint="eastAsia" w:eastAsia="宋体"/>
          <w:lang w:val="en-US" w:eastAsia="zh-CN"/>
        </w:rPr>
        <w:t xml:space="preserve"> Thus, the most important thing is the timing synchronization. RAN4 has already defined the requirements to perform the TA validation based on the RSRP change. When UE is configured with the CG-SDT parameters, UE will store the original RSRP value which is the measurement reference RSRP1. Then UE will select SSB which is above the </w:t>
      </w:r>
      <w:r>
        <w:rPr>
          <w:rFonts w:hint="eastAsia" w:eastAsia="宋体"/>
          <w:i/>
          <w:iCs/>
          <w:lang w:val="en-US" w:eastAsia="zh-CN"/>
        </w:rPr>
        <w:t>cg-SDT-RSRP-ThresholdSSB</w:t>
      </w:r>
      <w:r>
        <w:rPr>
          <w:rFonts w:hint="eastAsia" w:eastAsia="宋体"/>
          <w:lang w:val="en-US" w:eastAsia="zh-CN"/>
        </w:rPr>
        <w:t xml:space="preserve"> or has the same SSB index as the SSB selected for initial transmission for CG-SDT. Based on the selected SSB, UE will measure the current RSRP value of the downlink pathloss reference and than the change between the stored RSRP and the RSRP for current DL pathloss reference will be calculated. If the change is within the threshold, the TA is valid; otherwise, UE will drop the CG-SDT. The current RedCap UEs</w:t>
      </w:r>
      <w:r>
        <w:rPr>
          <w:rFonts w:hint="default" w:eastAsia="宋体"/>
          <w:lang w:val="en-US" w:eastAsia="zh-CN"/>
        </w:rPr>
        <w:t>’</w:t>
      </w:r>
      <w:r>
        <w:rPr>
          <w:rFonts w:hint="eastAsia" w:eastAsia="宋体"/>
          <w:lang w:val="en-US" w:eastAsia="zh-CN"/>
        </w:rPr>
        <w:t xml:space="preserve"> requirement is as below:</w:t>
      </w:r>
    </w:p>
    <w:p>
      <w:pPr>
        <w:pStyle w:val="55"/>
        <w:rPr>
          <w:lang w:val="fr-FR"/>
        </w:rPr>
      </w:pPr>
      <w:r>
        <w:rPr>
          <w:lang w:val="fr-FR"/>
        </w:rPr>
        <w:t>Table 5.5.3-1 Valid measurement for FR1 for UE not configurd with eDRX cycle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lang w:val="en-US" w:eastAsia="zh-CN"/>
        </w:rPr>
        <w:t>We see that the SDT maybe also apply for the NTN scenario which is not the corner case. However, if we plan to define the requirements in NTN, GSO and NGSO shall be distinguished.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lang w:val="en-US" w:eastAsia="zh-CN"/>
        </w:rPr>
        <w:t>For NTN GSO scenario, if UE receives the CG-SDT configuration, UE shall store the latest RSRP value, then UE will select the proper SSB to measure the current DL RSRP, t</w:t>
      </w:r>
      <w:r>
        <w:rPr>
          <w:rFonts w:hint="eastAsia" w:eastAsia="宋体" w:cs="Times New Roman"/>
          <w:b w:val="0"/>
          <w:bCs w:val="0"/>
          <w:sz w:val="20"/>
          <w:lang w:val="en-US" w:eastAsia="zh-CN"/>
        </w:rPr>
        <w:t>he RSRP change will be smaller since the position of GSO satellite is stable from UE perspective and UE would not have the large mobility. The legacy RedCap UEs</w:t>
      </w:r>
      <w:r>
        <w:rPr>
          <w:rFonts w:hint="default" w:eastAsia="宋体" w:cs="Times New Roman"/>
          <w:b w:val="0"/>
          <w:bCs w:val="0"/>
          <w:sz w:val="20"/>
          <w:lang w:val="en-US" w:eastAsia="zh-CN"/>
        </w:rPr>
        <w:t>’</w:t>
      </w:r>
      <w:r>
        <w:rPr>
          <w:rFonts w:hint="eastAsia" w:eastAsia="宋体" w:cs="Times New Roman"/>
          <w:b w:val="0"/>
          <w:bCs w:val="0"/>
          <w:sz w:val="20"/>
          <w:lang w:val="en-US" w:eastAsia="zh-CN"/>
        </w:rPr>
        <w:t xml:space="preserve"> RSRP measurement can be the baseline.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NTN NGSO scenario, the main difference compared to GSO is the velocity of the satellite. In theory, the RSRP change will be very large for NGSO and the TA will be invalid based on RSRP change which will exceed the RSRP change threshold.  However, based on RAN2</w:t>
      </w:r>
      <w:r>
        <w:rPr>
          <w:rFonts w:hint="default" w:eastAsia="宋体" w:cs="Times New Roman"/>
          <w:b w:val="0"/>
          <w:bCs w:val="0"/>
          <w:sz w:val="20"/>
          <w:lang w:val="en-US" w:eastAsia="zh-CN"/>
        </w:rPr>
        <w:t>’</w:t>
      </w:r>
      <w:r>
        <w:rPr>
          <w:rFonts w:hint="eastAsia" w:eastAsia="宋体" w:cs="Times New Roman"/>
          <w:b w:val="0"/>
          <w:bCs w:val="0"/>
          <w:sz w:val="20"/>
          <w:lang w:val="en-US" w:eastAsia="zh-CN"/>
        </w:rPr>
        <w:t>s understanding we find the threshold of RSRP change can be up to 34dB:</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lang w:val="en-US" w:eastAsia="zh-CN"/>
        </w:rPr>
      </w:pPr>
      <w:r>
        <w:drawing>
          <wp:inline distT="0" distB="0" distL="114300" distR="114300">
            <wp:extent cx="6119495" cy="434975"/>
            <wp:effectExtent l="0" t="0" r="6985"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3"/>
                    <a:stretch>
                      <a:fillRect/>
                    </a:stretch>
                  </pic:blipFill>
                  <pic:spPr>
                    <a:xfrm>
                      <a:off x="0" y="0"/>
                      <a:ext cx="6119495" cy="434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We think this threshold is relaxed enough and also there are 5bits spared. Thus, we support the CG-SDT shall be studied in NGSO scenario. The  valid measurement for FR1 in NGSO shall be the same as in GSO.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The next point shall be also considered in NTN scenario which is the SDT timer, the TA validation shall be verified before the timer expiration.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Above all, the final valid measurement for FR1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1Rx and 2Rx RedCap UEs, the requirements are same only the accuracy margin is different: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eastAsia="sv-SE"/>
              </w:rPr>
            </w:pPr>
            <w:r>
              <w:rPr>
                <w:lang w:eastAsia="sv-SE"/>
              </w:rPr>
              <w:t>The 1 Rx RedCap UE for determining whether to perform SDT procedure defined in clause 5.27 [7] applies:</w:t>
            </w:r>
          </w:p>
          <w:p>
            <w:pPr>
              <w:pStyle w:val="53"/>
              <w:overflowPunct w:val="0"/>
              <w:autoSpaceDE w:val="0"/>
              <w:autoSpaceDN w:val="0"/>
              <w:adjustRightInd w:val="0"/>
              <w:spacing w:before="120" w:after="120" w:line="360" w:lineRule="auto"/>
              <w:jc w:val="both"/>
              <w:textAlignment w:val="baseline"/>
              <w:rPr>
                <w:lang w:eastAsia="sv-SE"/>
              </w:rPr>
            </w:pPr>
            <w:r>
              <w:t>-</w:t>
            </w:r>
            <w:r>
              <w:tab/>
            </w:r>
            <w:r>
              <w:t xml:space="preserve">sdt-RSRP-Threshold-r17 </w:t>
            </w:r>
            <w:r>
              <w:rPr>
                <w:lang w:eastAsia="sv-SE"/>
              </w:rPr>
              <w:t xml:space="preserve">as the signaled value of </w:t>
            </w:r>
            <w:r>
              <w:t xml:space="preserve">sdt-RSRP-Threshold-r17 </w:t>
            </w:r>
            <w:r>
              <w:rPr>
                <w:lang w:eastAsia="sv-SE"/>
              </w:rPr>
              <w:t xml:space="preserve">[2] + </w:t>
            </w:r>
            <w:r>
              <w:rPr>
                <w:highlight w:val="yellow"/>
                <w:lang w:eastAsia="sv-SE"/>
              </w:rPr>
              <w:t xml:space="preserve">1 </w:t>
            </w:r>
            <w:r>
              <w:rPr>
                <w:lang w:eastAsia="sv-SE"/>
              </w:rPr>
              <w:t>dB.</w:t>
            </w:r>
          </w:p>
          <w:p>
            <w:pPr>
              <w:pStyle w:val="53"/>
              <w:overflowPunct w:val="0"/>
              <w:autoSpaceDE w:val="0"/>
              <w:autoSpaceDN w:val="0"/>
              <w:adjustRightInd w:val="0"/>
              <w:spacing w:before="120" w:after="120" w:line="360" w:lineRule="auto"/>
              <w:jc w:val="both"/>
              <w:textAlignment w:val="baseline"/>
              <w:rPr>
                <w:rFonts w:hint="default"/>
                <w:lang w:val="en-US" w:eastAsia="zh-CN"/>
              </w:rPr>
            </w:pPr>
            <w:r>
              <w:rPr>
                <w:rFonts w:eastAsia="等线"/>
                <w:i/>
                <w:highlight w:val="yellow"/>
                <w:lang w:eastAsia="zh-CN"/>
              </w:rPr>
              <w:t>sdt-RSRP-Threshold</w:t>
            </w:r>
            <w:r>
              <w:rPr>
                <w:rFonts w:eastAsia="等线"/>
                <w:lang w:eastAsia="zh-CN"/>
              </w:rPr>
              <w:t>: RSRP threshold for UE to determine whether to perform SDT procedure initiated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shall also reuse the margin as legacy.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23: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24: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25: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33: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34: Compared to 2Rx UE, extra 1dB margin shall be needed for 1Rx RedCap UEs.</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2.1.2.1.3.2 Random access based Small Data Transmission (RA-SDT)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random access based small data transmission, we find the legacy SDT requirements is the same as the legacy RA requirements for 1Rx and 2Rx UEs. Compared to 2Rx UE, extra 1dB margin shall be needed for 1Rx RedCap UEs. Thus, if the random access for 2Rx and 1Rx RedCap requirements are defined, the RA based SDT requirements shall be reused. And the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26: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35: If the random access for 2Rx and 1Rx RedCap requirements are defined, the RA based SDT requirements shall be reused. The extra 1dB accuracy margin for 1Rx can be reused.</w:t>
      </w:r>
    </w:p>
    <w:p>
      <w:pPr>
        <w:pStyle w:val="5"/>
        <w:overflowPunct w:val="0"/>
        <w:autoSpaceDE w:val="0"/>
        <w:autoSpaceDN w:val="0"/>
        <w:adjustRightInd w:val="0"/>
        <w:spacing w:before="120" w:after="120" w:line="360" w:lineRule="auto"/>
        <w:jc w:val="both"/>
        <w:textAlignment w:val="baseline"/>
        <w:rPr>
          <w:rFonts w:hint="eastAsia"/>
          <w:sz w:val="24"/>
          <w:szCs w:val="20"/>
          <w:lang w:val="en-US" w:eastAsia="zh-CN"/>
        </w:rPr>
      </w:pPr>
      <w:r>
        <w:rPr>
          <w:rFonts w:hint="eastAsia"/>
          <w:sz w:val="24"/>
          <w:szCs w:val="20"/>
          <w:lang w:val="en-US" w:eastAsia="zh-CN"/>
        </w:rPr>
        <w:t>2.1.2.2 Potential impact on RRM requirements for RedCap UE (HD-FDD UE)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 xml:space="preserve">The second feature is half-duplex FDD operation. Compared to FD-FDD UE, </w:t>
      </w:r>
      <w:r>
        <w:rPr>
          <w:rFonts w:hint="eastAsia" w:eastAsia="宋体"/>
          <w:sz w:val="20"/>
          <w:szCs w:val="20"/>
          <w:lang w:val="en-US" w:eastAsia="zh-CN"/>
        </w:rPr>
        <w:t>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Handover:</w:t>
            </w:r>
          </w:p>
          <w:p>
            <w:pPr>
              <w:spacing w:before="156" w:beforeLines="50"/>
              <w:rPr>
                <w:rFonts w:ascii="Times New Roman" w:hAnsi="Times New Roman" w:cs="Times New Roman"/>
                <w:lang w:val="en-GB"/>
              </w:rPr>
            </w:pPr>
            <w:r>
              <w:rPr>
                <w:rFonts w:ascii="Times New Roman" w:hAnsi="Times New Roman" w:cs="Times New Roman"/>
                <w:lang w:val="en-GB"/>
              </w:rPr>
              <w:t>Legacy RedCap HD-UE：</w:t>
            </w:r>
          </w:p>
          <w:p>
            <w:pPr>
              <w:rPr>
                <w:rFonts w:ascii="Times New Roman" w:hAnsi="Times New Roman" w:cs="Times New Roman"/>
              </w:rPr>
            </w:pPr>
            <w:r>
              <w:rPr>
                <w:rFonts w:ascii="Times New Roman" w:hAnsi="Times New Roman" w:cs="Times New Roman"/>
              </w:rPr>
              <w:t xml:space="preserve">For RedCap UE with HD-FDD, the handover requirements are met provided that </w:t>
            </w:r>
          </w:p>
          <w:p>
            <w:pPr>
              <w:pStyle w:val="53"/>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53"/>
            </w:pPr>
            <w:r>
              <w:rPr>
                <w:lang w:eastAsia="ko-KR"/>
              </w:rPr>
              <w:t>-</w:t>
            </w:r>
            <w:r>
              <w:rPr>
                <w:lang w:eastAsia="ko-KR"/>
              </w:rPr>
              <w:tab/>
            </w:r>
            <w:r>
              <w:t>One SSB is available during T</w:t>
            </w:r>
            <w:r>
              <w:rPr>
                <w:vertAlign w:val="subscript"/>
              </w:rPr>
              <w:t>∆</w:t>
            </w:r>
          </w:p>
          <w:p>
            <w:pPr>
              <w:pStyle w:val="53"/>
            </w:pPr>
            <w:r>
              <w:rPr>
                <w:lang w:eastAsia="ko-KR"/>
              </w:rPr>
              <w:t>-</w:t>
            </w:r>
            <w:r>
              <w:rPr>
                <w:lang w:eastAsia="ko-KR"/>
              </w:rPr>
              <w:tab/>
            </w:r>
            <w:r>
              <w:t>One SSB is available during T</w:t>
            </w:r>
            <w:r>
              <w:rPr>
                <w:vertAlign w:val="subscript"/>
              </w:rPr>
              <w:t>IU.</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 xml:space="preserve">Proposal 36: The legacy requirements and applicable conditions can be as baseline for defining requirements of RedCap UE in NTN scenario. </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RF session has already introduced the several new FR1-NTN operating FDD bands.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2: For RRM requirements, the operating band of (e)RedCap UE with FR-NTN bands shall contain n250, n251, n252, n253.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p>
    <w:p>
      <w:pPr>
        <w:spacing w:before="120" w:after="120"/>
        <w:rPr>
          <w:rFonts w:hint="eastAsia" w:eastAsia="宋体"/>
          <w:b/>
          <w:bCs/>
          <w:i/>
          <w:iCs/>
          <w:u w:val="single"/>
          <w:lang w:val="en-US" w:eastAsia="zh-CN"/>
        </w:rPr>
      </w:pPr>
      <w:r>
        <w:rPr>
          <w:rFonts w:hint="eastAsia" w:eastAsia="宋体"/>
          <w:b/>
          <w:bCs/>
          <w:i/>
          <w:iCs/>
          <w:u w:val="single"/>
          <w:lang w:val="en-US" w:eastAsia="zh-CN"/>
        </w:rPr>
        <w:t>Shared requirements for RedCap and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2: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3: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2: RAN2 is discussing TN to NTN (LTE to NR) cell re-selection and there has been not RAN4 RRM impact so far.</w:t>
      </w:r>
    </w:p>
    <w:p>
      <w:r>
        <w:rPr>
          <w:rFonts w:hint="eastAsia" w:eastAsia="宋体"/>
          <w:b/>
          <w:bCs/>
          <w:sz w:val="20"/>
          <w:szCs w:val="20"/>
          <w:lang w:val="en-US" w:eastAsia="zh-CN"/>
        </w:rPr>
        <w:t>Observation 3: RAN4 has already defined the inter-RAT and inter-frequency measurement requirements between TN and NTN in legacy.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4: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4: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5: For inter-frequency measurement, RAN4 shall reuse the extra 1dB offset for 1Rx RedCap UE in NR NTN if the legacy requirements are reused.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6: For inter-RAT measurement, the orginal accuracy margin shall be maintained for 1Rx RedCap UE in NR NTN if the legacy requirements are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7: The cell re-selection intra-frequency and inter-frequency measurement requirements in legacy NTN can be reused for 2Rx and 1Rx RedCap UEs when considering NTN to NTN cell re-selection.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8: RAN4 shall define the concrete accuracy margin for 1Rx and 2Rx UE in NTN-NTN scenario. For 1Rx RedCap UE, additional 1dB is needed based on legacy conditions in NTN. For 2Rx RedCap UE,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5: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9: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default" w:eastAsia="宋体"/>
          <w:b/>
          <w:bCs/>
          <w:lang w:val="en-US" w:eastAsia="zh-CN"/>
        </w:rPr>
      </w:pPr>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6: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10: For 2Rx RedCap UE, RAN4 shall reuse legacy NTN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11: For 1Rx RedCap UE, RAN4 shall reuse legacy RedCap UE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12: For 2Rx UE in NTN, the time to identify target NR cell for RRC connection release with redirection to NR  in legacy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13: For 1Rx UE in NTN, the time to identify target NR cell for RRC connection release with redirection to NR  in legacy NTN shall be the baseline and one measurement sample shall be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14: The legacy requirements in NR NTN shall be reused for 1Rx and  2Rx UE in NTN, the conditions for performing the random access procedure for 1Rx in legacy RedCap TN shall be used for 1Rx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15: The legacy NR NTN timing requirements shall be resued when considering to define the requirements on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RAN4 shall define the Qout requirements for RedCap UEs in FR1-NTN bands. The evaluation period for 2Rx shall be reused and the evaluation period shall be extended for 1Rx by factor 2. Also, Qin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BFD in legacy RedCap for 2Rx shall be reused and the evaluation period of BFD in legacy RedCap shall be extended for 1Rx by factor 2.</w:t>
      </w:r>
    </w:p>
    <w:p>
      <w:r>
        <w:rPr>
          <w:rFonts w:hint="eastAsia"/>
          <w:b/>
          <w:bCs/>
          <w:lang w:val="en-US" w:eastAsia="zh-CN"/>
        </w:rPr>
        <w:t>Proposal 18: The evaluation period of CBD in legacy NTN shall be used without any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11: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19: Legacy BWP switching delay requirements in NTN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21:  For active TCI state switch delay and UE specific CBW change, RAN4 shall reuse the legacy NTN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not the type of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22: Multiple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23: RAN4 shall define time period of PSS/SSS detection and time index detection. The requirements for 1Rx and 2Rx RedCap UE in NTN scenario shall reuse the legacy RedCap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24: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p>
    <w:p>
      <w:pPr>
        <w:spacing w:before="120" w:after="120"/>
        <w:rPr>
          <w:rFonts w:hint="eastAsia" w:eastAsia="宋体"/>
          <w:b/>
          <w:bCs/>
          <w:i/>
          <w:iCs/>
          <w:u w:val="single"/>
          <w:lang w:val="en-US" w:eastAsia="zh-CN"/>
        </w:rPr>
      </w:pPr>
      <w:r>
        <w:rPr>
          <w:rFonts w:hint="eastAsia" w:eastAsia="宋体"/>
          <w:b/>
          <w:bCs/>
          <w:i/>
          <w:iCs/>
          <w:u w:val="single"/>
          <w:lang w:val="en-US" w:eastAsia="zh-CN"/>
        </w:rPr>
        <w:t>Unique requirements for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25: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26: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RAN4 shall reuse the legacy passloss reference signal switching delay in NTN for 1Rx and 2Rx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28: If RAN4 defines the RACH-based handover requirements for RedCap UEs in NTN, RAN4 shall reuse the same requirements for RACH-less handover requirements for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17: RAN4 has not defined the requirements for RedCap UEs in TN in legacy. RAN4 has already defined the conditional handover requirements for normal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18: RAN2 did not exclude and distinguish the type of </w:t>
      </w:r>
      <w:r>
        <w:rPr>
          <w:rFonts w:hint="eastAsia"/>
          <w:b/>
          <w:bCs/>
          <w:sz w:val="20"/>
          <w:szCs w:val="20"/>
          <w:lang w:val="en-US" w:eastAsia="zh-CN"/>
        </w:rPr>
        <w:t>UE for legacy conditional handover in R16.</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19: If the UE supports </w:t>
      </w:r>
      <w:r>
        <w:rPr>
          <w:rFonts w:hint="eastAsia" w:eastAsia="宋体" w:cs="Times New Roman"/>
          <w:b/>
          <w:bCs/>
          <w:i/>
          <w:iCs/>
          <w:sz w:val="20"/>
          <w:szCs w:val="20"/>
          <w:lang w:val="en-US" w:eastAsia="zh-CN"/>
        </w:rPr>
        <w:t>condHandover-r16</w:t>
      </w:r>
      <w:r>
        <w:rPr>
          <w:rFonts w:hint="eastAsia" w:eastAsia="宋体" w:cs="Times New Roman"/>
          <w:b/>
          <w:bCs/>
          <w:sz w:val="20"/>
          <w:szCs w:val="20"/>
          <w:lang w:val="en-US" w:eastAsia="zh-CN"/>
        </w:rPr>
        <w:t xml:space="preserve"> and </w:t>
      </w:r>
      <w:r>
        <w:rPr>
          <w:rFonts w:hint="eastAsia" w:eastAsia="宋体" w:cs="Times New Roman"/>
          <w:b/>
          <w:bCs/>
          <w:i/>
          <w:iCs/>
          <w:sz w:val="20"/>
          <w:szCs w:val="20"/>
          <w:lang w:val="en-US" w:eastAsia="zh-CN"/>
        </w:rPr>
        <w:t>nonTerrestrialNetwork-r17</w:t>
      </w:r>
      <w:r>
        <w:rPr>
          <w:rFonts w:hint="eastAsia" w:eastAsia="宋体" w:cs="Times New Roman"/>
          <w:b/>
          <w:bCs/>
          <w:sz w:val="20"/>
          <w:szCs w:val="20"/>
          <w:lang w:val="en-US" w:eastAsia="zh-CN"/>
        </w:rPr>
        <w:t>, the location-based and time-based conditional handover can be applied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sz w:val="20"/>
          <w:szCs w:val="20"/>
          <w:lang w:val="en-US" w:eastAsia="zh-CN"/>
        </w:rPr>
      </w:pPr>
      <w:r>
        <w:rPr>
          <w:rFonts w:hint="eastAsia"/>
          <w:b/>
          <w:bCs/>
          <w:sz w:val="20"/>
          <w:szCs w:val="20"/>
          <w:lang w:val="en-US" w:eastAsia="zh-CN"/>
        </w:rPr>
        <w:t>Observation 20: From RAN2 perspective, CHO for RedCap UEs in NTN scenario is not precluded.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sz w:val="20"/>
          <w:szCs w:val="20"/>
          <w:lang w:val="en-US" w:eastAsia="zh-CN"/>
        </w:rPr>
      </w:pPr>
      <w:r>
        <w:rPr>
          <w:rFonts w:hint="eastAsia"/>
          <w:b/>
          <w:bCs/>
          <w:sz w:val="20"/>
          <w:szCs w:val="20"/>
          <w:lang w:val="en-US" w:eastAsia="zh-CN"/>
        </w:rPr>
        <w:t>Proposal 29: For RedCap UEs in NTN, RAN4 shall define the conditional handover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30: The legacy time period for PSS/SSS detection and time period for time index detection requirements for 1Rx and 2Rx RedCap UEs shall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21: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22: Whatever it</w:t>
      </w:r>
      <w:r>
        <w:rPr>
          <w:rFonts w:hint="default" w:eastAsia="宋体" w:cs="Times New Roman"/>
          <w:b/>
          <w:bCs/>
          <w:sz w:val="20"/>
          <w:szCs w:val="20"/>
          <w:lang w:val="en-US" w:eastAsia="zh-CN"/>
        </w:rPr>
        <w:t>’</w:t>
      </w:r>
      <w:r>
        <w:rPr>
          <w:rFonts w:hint="eastAsia" w:eastAsia="宋体" w:cs="Times New Roman"/>
          <w:b/>
          <w:bCs/>
          <w:sz w:val="20"/>
          <w:szCs w:val="20"/>
          <w:lang w:val="en-US" w:eastAsia="zh-CN"/>
        </w:rPr>
        <w:t>s the 1Rx UE or 2Rx UE, if the drift of time stamping for each measurement data collection is not more than the seconds in legacy, the requirements can be applied.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31: For measurement requirements, the legacy measurement requirements shall be reused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32: For accuracy relative time stamp requirements, RAN4 shall reuse the same drift of relative time stamp for 1Rx and 2Rx RedCap UEs in NTN.</w:t>
      </w:r>
    </w:p>
    <w:p>
      <w:pPr>
        <w:spacing w:before="120" w:after="120"/>
        <w:rPr>
          <w:rFonts w:hint="default" w:eastAsia="宋体"/>
          <w:lang w:val="en-US" w:eastAsia="zh-CN"/>
        </w:rPr>
      </w:pPr>
    </w:p>
    <w:p>
      <w:pPr>
        <w:spacing w:before="120" w:after="120"/>
        <w:rPr>
          <w:rFonts w:hint="default" w:eastAsia="宋体"/>
          <w:b/>
          <w:bCs/>
          <w:i/>
          <w:iCs/>
          <w:u w:val="single"/>
          <w:lang w:val="en-US" w:eastAsia="zh-CN"/>
        </w:rPr>
      </w:pPr>
      <w:r>
        <w:rPr>
          <w:rFonts w:hint="eastAsia" w:eastAsia="宋体"/>
          <w:b/>
          <w:bCs/>
          <w:i/>
          <w:iCs/>
          <w:u w:val="single"/>
          <w:lang w:val="en-US" w:eastAsia="zh-CN"/>
        </w:rPr>
        <w:t>Unique requirements for RedCap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25: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26: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RAN4 shall reuse the legacy passloss reference signal switching delay in NTN for 1Rx and 2Rx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28: If RAN4 defines the RACH-based handover requirements for RedCap UEs in NTN, RAN4 shall reuse the same requirements for RACH-less handover requirements for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17: RAN4 has not defined the requirements for RedCap UEs in TN in legacy. RAN4 has already defined the conditional handover requirements for normal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18: RAN2 did not exclude and distinguish the type of </w:t>
      </w:r>
      <w:r>
        <w:rPr>
          <w:rFonts w:hint="eastAsia"/>
          <w:b/>
          <w:bCs/>
          <w:sz w:val="20"/>
          <w:szCs w:val="20"/>
          <w:lang w:val="en-US" w:eastAsia="zh-CN"/>
        </w:rPr>
        <w:t>UE for legacy conditional handover in R16.</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Observation 19: If the UE supports </w:t>
      </w:r>
      <w:r>
        <w:rPr>
          <w:rFonts w:hint="eastAsia" w:eastAsia="宋体" w:cs="Times New Roman"/>
          <w:b/>
          <w:bCs/>
          <w:i/>
          <w:iCs/>
          <w:sz w:val="20"/>
          <w:szCs w:val="20"/>
          <w:lang w:val="en-US" w:eastAsia="zh-CN"/>
        </w:rPr>
        <w:t>condHandover-r16</w:t>
      </w:r>
      <w:r>
        <w:rPr>
          <w:rFonts w:hint="eastAsia" w:eastAsia="宋体" w:cs="Times New Roman"/>
          <w:b/>
          <w:bCs/>
          <w:sz w:val="20"/>
          <w:szCs w:val="20"/>
          <w:lang w:val="en-US" w:eastAsia="zh-CN"/>
        </w:rPr>
        <w:t xml:space="preserve"> and </w:t>
      </w:r>
      <w:r>
        <w:rPr>
          <w:rFonts w:hint="eastAsia" w:eastAsia="宋体" w:cs="Times New Roman"/>
          <w:b/>
          <w:bCs/>
          <w:i/>
          <w:iCs/>
          <w:sz w:val="20"/>
          <w:szCs w:val="20"/>
          <w:lang w:val="en-US" w:eastAsia="zh-CN"/>
        </w:rPr>
        <w:t>nonTerrestrialNetwork-r17</w:t>
      </w:r>
      <w:r>
        <w:rPr>
          <w:rFonts w:hint="eastAsia" w:eastAsia="宋体" w:cs="Times New Roman"/>
          <w:b/>
          <w:bCs/>
          <w:sz w:val="20"/>
          <w:szCs w:val="20"/>
          <w:lang w:val="en-US" w:eastAsia="zh-CN"/>
        </w:rPr>
        <w:t>, the location-based and time-based conditional handover can be applied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sz w:val="20"/>
          <w:szCs w:val="20"/>
          <w:lang w:val="en-US" w:eastAsia="zh-CN"/>
        </w:rPr>
      </w:pPr>
      <w:r>
        <w:rPr>
          <w:rFonts w:hint="eastAsia"/>
          <w:b/>
          <w:bCs/>
          <w:sz w:val="20"/>
          <w:szCs w:val="20"/>
          <w:lang w:val="en-US" w:eastAsia="zh-CN"/>
        </w:rPr>
        <w:t>Observation 20: From RAN2 perspective, CHO for RedCap UEs in NTN scenario is not precluded.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sz w:val="20"/>
          <w:szCs w:val="20"/>
          <w:lang w:val="en-US" w:eastAsia="zh-CN"/>
        </w:rPr>
      </w:pPr>
      <w:r>
        <w:rPr>
          <w:rFonts w:hint="eastAsia"/>
          <w:b/>
          <w:bCs/>
          <w:sz w:val="20"/>
          <w:szCs w:val="20"/>
          <w:lang w:val="en-US" w:eastAsia="zh-CN"/>
        </w:rPr>
        <w:t>Proposal 29: For RedCap UEs in NTN, RAN4 shall define the conditional handover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30: The legacy time period for PSS/SSS detection and time period for time index detection requirements for 1Rx and 2Rx RedCap UEs shall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21: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22: Whatever it</w:t>
      </w:r>
      <w:r>
        <w:rPr>
          <w:rFonts w:hint="default" w:eastAsia="宋体" w:cs="Times New Roman"/>
          <w:b/>
          <w:bCs/>
          <w:sz w:val="20"/>
          <w:szCs w:val="20"/>
          <w:lang w:val="en-US" w:eastAsia="zh-CN"/>
        </w:rPr>
        <w:t>’</w:t>
      </w:r>
      <w:r>
        <w:rPr>
          <w:rFonts w:hint="eastAsia" w:eastAsia="宋体" w:cs="Times New Roman"/>
          <w:b/>
          <w:bCs/>
          <w:sz w:val="20"/>
          <w:szCs w:val="20"/>
          <w:lang w:val="en-US" w:eastAsia="zh-CN"/>
        </w:rPr>
        <w:t>s the 1Rx UE or 2Rx UE, if the drift of time stamping for each measurement data collection is not more than the seconds in legacy, the requirements can be applied.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31: For measurement requirements, the legacy measurement requirements shall be reused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32: For accuracy relative time stamp requirements, RAN4 shall reuse the same drift of relative time stamp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23: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24: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25: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33: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34: Compared to 2Rx UE, extra 1dB margin shall be needed for 1Rx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26: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35: If the random access for 2Rx and 1Rx RedCap requirements are defined, the RA based SDT requirements shall be reused. The extra 1dB accuracy margin for 1Rx can be reused.</w:t>
      </w:r>
    </w:p>
    <w:p>
      <w:pPr>
        <w:spacing w:before="120" w:after="120"/>
        <w:rPr>
          <w:rFonts w:hint="default" w:eastAsia="宋体"/>
          <w:lang w:val="en-US" w:eastAsia="zh-CN"/>
        </w:rPr>
      </w:pPr>
    </w:p>
    <w:p>
      <w:pPr>
        <w:spacing w:before="120" w:after="120"/>
        <w:rPr>
          <w:rFonts w:hint="default" w:eastAsia="宋体"/>
          <w:lang w:val="en-US" w:eastAsia="zh-CN"/>
        </w:rPr>
      </w:pPr>
      <w:r>
        <w:rPr>
          <w:rFonts w:hint="eastAsia" w:eastAsia="宋体"/>
          <w:b/>
          <w:bCs/>
          <w:i/>
          <w:iCs/>
          <w:u w:val="single"/>
          <w:lang w:val="en-US" w:eastAsia="zh-CN"/>
        </w:rPr>
        <w:t>HD-FDD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 xml:space="preserve">Proposal 36: The legacy requirements and applicable conditions can be as baseline for defining requirements of RedCap UE in NTN scenario. </w:t>
      </w:r>
    </w:p>
    <w:p>
      <w:pPr>
        <w:pStyle w:val="78"/>
        <w:numPr>
          <w:ilvl w:val="0"/>
          <w:numId w:val="0"/>
        </w:numPr>
        <w:ind w:left="360" w:hanging="360"/>
        <w:rPr>
          <w:lang w:val="en-US"/>
        </w:rPr>
      </w:pPr>
      <w:r>
        <w:rPr>
          <w:lang w:val="en-US"/>
        </w:rPr>
        <w:t>References</w:t>
      </w:r>
    </w:p>
    <w:p>
      <w:pPr>
        <w:rPr>
          <w:lang w:val="en-US"/>
        </w:rPr>
      </w:pPr>
      <w:bookmarkStart w:id="7" w:name="_Ref114500673"/>
      <w:bookmarkEnd w:id="7"/>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6EE0F"/>
    <w:multiLevelType w:val="singleLevel"/>
    <w:tmpl w:val="8EF6EE0F"/>
    <w:lvl w:ilvl="0" w:tentative="0">
      <w:start w:val="1"/>
      <w:numFmt w:val="lowerLetter"/>
      <w:lvlText w:val="%1."/>
      <w:lvlJc w:val="left"/>
      <w:pPr>
        <w:ind w:left="425" w:hanging="425"/>
      </w:pPr>
      <w:rPr>
        <w:rFonts w:hint="default"/>
      </w:rPr>
    </w:lvl>
  </w:abstractNum>
  <w:abstractNum w:abstractNumId="1">
    <w:nsid w:val="ADEC51C7"/>
    <w:multiLevelType w:val="singleLevel"/>
    <w:tmpl w:val="ADEC51C7"/>
    <w:lvl w:ilvl="0" w:tentative="0">
      <w:start w:val="1"/>
      <w:numFmt w:val="lowerLetter"/>
      <w:suff w:val="space"/>
      <w:lvlText w:val="%1."/>
      <w:lvlJc w:val="left"/>
    </w:lvl>
  </w:abstractNum>
  <w:abstractNum w:abstractNumId="2">
    <w:nsid w:val="B6608E5E"/>
    <w:multiLevelType w:val="singleLevel"/>
    <w:tmpl w:val="B6608E5E"/>
    <w:lvl w:ilvl="0" w:tentative="0">
      <w:start w:val="1"/>
      <w:numFmt w:val="bullet"/>
      <w:lvlText w:val=""/>
      <w:lvlJc w:val="left"/>
      <w:pPr>
        <w:ind w:left="420" w:hanging="420"/>
      </w:pPr>
      <w:rPr>
        <w:rFonts w:hint="default" w:ascii="Wingdings" w:hAnsi="Wingdings"/>
      </w:rPr>
    </w:lvl>
  </w:abstractNum>
  <w:abstractNum w:abstractNumId="3">
    <w:nsid w:val="C6E79F6E"/>
    <w:multiLevelType w:val="singleLevel"/>
    <w:tmpl w:val="C6E79F6E"/>
    <w:lvl w:ilvl="0" w:tentative="0">
      <w:start w:val="1"/>
      <w:numFmt w:val="bullet"/>
      <w:lvlText w:val=""/>
      <w:lvlJc w:val="left"/>
      <w:pPr>
        <w:ind w:left="420" w:hanging="420"/>
      </w:pPr>
      <w:rPr>
        <w:rFonts w:hint="default" w:ascii="Wingdings" w:hAnsi="Wingdings"/>
      </w:rPr>
    </w:lvl>
  </w:abstractNum>
  <w:abstractNum w:abstractNumId="4">
    <w:nsid w:val="E6A5E72A"/>
    <w:multiLevelType w:val="singleLevel"/>
    <w:tmpl w:val="E6A5E72A"/>
    <w:lvl w:ilvl="0" w:tentative="0">
      <w:start w:val="1"/>
      <w:numFmt w:val="decimal"/>
      <w:suff w:val="space"/>
      <w:lvlText w:val="%1."/>
      <w:lvlJc w:val="left"/>
    </w:lvl>
  </w:abstractNum>
  <w:abstractNum w:abstractNumId="5">
    <w:nsid w:val="0316A2DA"/>
    <w:multiLevelType w:val="singleLevel"/>
    <w:tmpl w:val="0316A2DA"/>
    <w:lvl w:ilvl="0" w:tentative="0">
      <w:start w:val="1"/>
      <w:numFmt w:val="bullet"/>
      <w:lvlText w:val=""/>
      <w:lvlJc w:val="left"/>
      <w:pPr>
        <w:ind w:left="420" w:hanging="420"/>
      </w:pPr>
      <w:rPr>
        <w:rFonts w:hint="default" w:ascii="Wingdings" w:hAnsi="Wingdings"/>
      </w:rPr>
    </w:lvl>
  </w:abstractNum>
  <w:abstractNum w:abstractNumId="6">
    <w:nsid w:val="0ACF6EF9"/>
    <w:multiLevelType w:val="singleLevel"/>
    <w:tmpl w:val="0ACF6EF9"/>
    <w:lvl w:ilvl="0" w:tentative="0">
      <w:start w:val="1"/>
      <w:numFmt w:val="lowerLetter"/>
      <w:suff w:val="space"/>
      <w:lvlText w:val="%1."/>
      <w:lvlJc w:val="left"/>
    </w:lvl>
  </w:abstractNum>
  <w:abstractNum w:abstractNumId="7">
    <w:nsid w:val="105E975F"/>
    <w:multiLevelType w:val="singleLevel"/>
    <w:tmpl w:val="105E975F"/>
    <w:lvl w:ilvl="0" w:tentative="0">
      <w:start w:val="1"/>
      <w:numFmt w:val="bullet"/>
      <w:lvlText w:val=""/>
      <w:lvlJc w:val="left"/>
      <w:pPr>
        <w:ind w:left="420" w:hanging="420"/>
      </w:pPr>
      <w:rPr>
        <w:rFonts w:hint="default" w:ascii="Wingdings" w:hAnsi="Wingdings"/>
      </w:rPr>
    </w:lvl>
  </w:abstractNum>
  <w:abstractNum w:abstractNumId="8">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8FB2CB8"/>
    <w:multiLevelType w:val="multilevel"/>
    <w:tmpl w:val="38FB2CB8"/>
    <w:lvl w:ilvl="0" w:tentative="0">
      <w:start w:val="0"/>
      <w:numFmt w:val="bullet"/>
      <w:lvlText w:val="-"/>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0">
    <w:nsid w:val="3AAC6C38"/>
    <w:multiLevelType w:val="singleLevel"/>
    <w:tmpl w:val="3AAC6C38"/>
    <w:lvl w:ilvl="0" w:tentative="0">
      <w:start w:val="1"/>
      <w:numFmt w:val="lowerLetter"/>
      <w:suff w:val="space"/>
      <w:lvlText w:val="%1."/>
      <w:lvlJc w:val="left"/>
    </w:lvl>
  </w:abstractNum>
  <w:abstractNum w:abstractNumId="11">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4">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4"/>
  </w:num>
  <w:num w:numId="2">
    <w:abstractNumId w:val="11"/>
  </w:num>
  <w:num w:numId="3">
    <w:abstractNumId w:val="15"/>
  </w:num>
  <w:num w:numId="4">
    <w:abstractNumId w:val="8"/>
  </w:num>
  <w:num w:numId="5">
    <w:abstractNumId w:val="12"/>
  </w:num>
  <w:num w:numId="6">
    <w:abstractNumId w:val="3"/>
  </w:num>
  <w:num w:numId="7">
    <w:abstractNumId w:val="6"/>
  </w:num>
  <w:num w:numId="8">
    <w:abstractNumId w:val="4"/>
  </w:num>
  <w:num w:numId="9">
    <w:abstractNumId w:val="10"/>
  </w:num>
  <w:num w:numId="10">
    <w:abstractNumId w:val="13"/>
  </w:num>
  <w:num w:numId="11">
    <w:abstractNumId w:val="5"/>
  </w:num>
  <w:num w:numId="12">
    <w:abstractNumId w:val="1"/>
  </w:num>
  <w:num w:numId="13">
    <w:abstractNumId w:val="9"/>
  </w:num>
  <w:num w:numId="14">
    <w:abstractNumId w:val="2"/>
  </w:num>
  <w:num w:numId="15">
    <w:abstractNumId w:val="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00352"/>
    <w:rsid w:val="00423334"/>
    <w:rsid w:val="00425BC0"/>
    <w:rsid w:val="004345EC"/>
    <w:rsid w:val="0044364B"/>
    <w:rsid w:val="0044437F"/>
    <w:rsid w:val="00454360"/>
    <w:rsid w:val="00465515"/>
    <w:rsid w:val="004929E3"/>
    <w:rsid w:val="00495EB4"/>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13C44"/>
    <w:rsid w:val="00734A5B"/>
    <w:rsid w:val="0074026F"/>
    <w:rsid w:val="007429F6"/>
    <w:rsid w:val="00743C79"/>
    <w:rsid w:val="00744E76"/>
    <w:rsid w:val="00774DA4"/>
    <w:rsid w:val="00781F0F"/>
    <w:rsid w:val="007A7AA8"/>
    <w:rsid w:val="007B600E"/>
    <w:rsid w:val="007C7DB2"/>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6663B"/>
    <w:rsid w:val="01105490"/>
    <w:rsid w:val="011629BA"/>
    <w:rsid w:val="01256C52"/>
    <w:rsid w:val="01295F0D"/>
    <w:rsid w:val="013D472E"/>
    <w:rsid w:val="01406A1E"/>
    <w:rsid w:val="01410DC2"/>
    <w:rsid w:val="01536085"/>
    <w:rsid w:val="0158163D"/>
    <w:rsid w:val="015A322D"/>
    <w:rsid w:val="015E2EBD"/>
    <w:rsid w:val="016067B5"/>
    <w:rsid w:val="01607FCF"/>
    <w:rsid w:val="01652E48"/>
    <w:rsid w:val="01726FEF"/>
    <w:rsid w:val="017E2E02"/>
    <w:rsid w:val="018F1743"/>
    <w:rsid w:val="018F25C8"/>
    <w:rsid w:val="01906A5B"/>
    <w:rsid w:val="01907C39"/>
    <w:rsid w:val="01A338EB"/>
    <w:rsid w:val="01B9477C"/>
    <w:rsid w:val="01BC14B7"/>
    <w:rsid w:val="01DC3E46"/>
    <w:rsid w:val="01E70C97"/>
    <w:rsid w:val="01EA15CF"/>
    <w:rsid w:val="01FE3350"/>
    <w:rsid w:val="01FE6BD3"/>
    <w:rsid w:val="01FF0DD2"/>
    <w:rsid w:val="021D3C93"/>
    <w:rsid w:val="021F7108"/>
    <w:rsid w:val="02262316"/>
    <w:rsid w:val="02336E0C"/>
    <w:rsid w:val="02402E7C"/>
    <w:rsid w:val="02490A5B"/>
    <w:rsid w:val="02505886"/>
    <w:rsid w:val="025F388A"/>
    <w:rsid w:val="02762F34"/>
    <w:rsid w:val="027D6F46"/>
    <w:rsid w:val="028832B4"/>
    <w:rsid w:val="028C5156"/>
    <w:rsid w:val="029011A2"/>
    <w:rsid w:val="029D79D6"/>
    <w:rsid w:val="02A03627"/>
    <w:rsid w:val="02A53D0A"/>
    <w:rsid w:val="02B45E6F"/>
    <w:rsid w:val="02BB608A"/>
    <w:rsid w:val="02CB7221"/>
    <w:rsid w:val="02DB4554"/>
    <w:rsid w:val="02DC07C0"/>
    <w:rsid w:val="02E845D2"/>
    <w:rsid w:val="02EC4357"/>
    <w:rsid w:val="02EE768C"/>
    <w:rsid w:val="02F3657B"/>
    <w:rsid w:val="02FA1082"/>
    <w:rsid w:val="031778E0"/>
    <w:rsid w:val="031B60F3"/>
    <w:rsid w:val="03207FB0"/>
    <w:rsid w:val="0325790F"/>
    <w:rsid w:val="0327096F"/>
    <w:rsid w:val="032A315A"/>
    <w:rsid w:val="034623EE"/>
    <w:rsid w:val="03481CC2"/>
    <w:rsid w:val="034E163D"/>
    <w:rsid w:val="03522204"/>
    <w:rsid w:val="03527594"/>
    <w:rsid w:val="03631D1E"/>
    <w:rsid w:val="03716AB5"/>
    <w:rsid w:val="038346FC"/>
    <w:rsid w:val="039A1E78"/>
    <w:rsid w:val="03A3177A"/>
    <w:rsid w:val="03BB74D8"/>
    <w:rsid w:val="03BF3D9F"/>
    <w:rsid w:val="03C80AD2"/>
    <w:rsid w:val="03C95263"/>
    <w:rsid w:val="03E4716B"/>
    <w:rsid w:val="03F0584F"/>
    <w:rsid w:val="03F31292"/>
    <w:rsid w:val="03FA7E60"/>
    <w:rsid w:val="03FB5627"/>
    <w:rsid w:val="04076F95"/>
    <w:rsid w:val="041C6F4E"/>
    <w:rsid w:val="04242812"/>
    <w:rsid w:val="042736AF"/>
    <w:rsid w:val="04335C8F"/>
    <w:rsid w:val="04383CC9"/>
    <w:rsid w:val="04421BA4"/>
    <w:rsid w:val="044B12E0"/>
    <w:rsid w:val="045D4134"/>
    <w:rsid w:val="045E7BF6"/>
    <w:rsid w:val="046301A2"/>
    <w:rsid w:val="046A0693"/>
    <w:rsid w:val="04732FB8"/>
    <w:rsid w:val="04734D94"/>
    <w:rsid w:val="047D2013"/>
    <w:rsid w:val="04871DE8"/>
    <w:rsid w:val="048A3516"/>
    <w:rsid w:val="048F6485"/>
    <w:rsid w:val="0493460E"/>
    <w:rsid w:val="04976897"/>
    <w:rsid w:val="049A781C"/>
    <w:rsid w:val="049F5EA2"/>
    <w:rsid w:val="04A12403"/>
    <w:rsid w:val="04A815F7"/>
    <w:rsid w:val="04AD06A4"/>
    <w:rsid w:val="04BD1E3A"/>
    <w:rsid w:val="04BF0955"/>
    <w:rsid w:val="04C94AE8"/>
    <w:rsid w:val="04E04910"/>
    <w:rsid w:val="04E74098"/>
    <w:rsid w:val="04F31581"/>
    <w:rsid w:val="050C7718"/>
    <w:rsid w:val="05123361"/>
    <w:rsid w:val="05176C7C"/>
    <w:rsid w:val="05214F03"/>
    <w:rsid w:val="055211C9"/>
    <w:rsid w:val="055E02FB"/>
    <w:rsid w:val="056A21A3"/>
    <w:rsid w:val="056A3BE2"/>
    <w:rsid w:val="05781409"/>
    <w:rsid w:val="057E488D"/>
    <w:rsid w:val="05AE2916"/>
    <w:rsid w:val="05B1379B"/>
    <w:rsid w:val="05C45AF2"/>
    <w:rsid w:val="05C6466C"/>
    <w:rsid w:val="05C66F89"/>
    <w:rsid w:val="05DB67C3"/>
    <w:rsid w:val="05E83B63"/>
    <w:rsid w:val="05EB00C3"/>
    <w:rsid w:val="05EC4912"/>
    <w:rsid w:val="05F02736"/>
    <w:rsid w:val="05F7145D"/>
    <w:rsid w:val="05FF4B65"/>
    <w:rsid w:val="06026AB1"/>
    <w:rsid w:val="060422D9"/>
    <w:rsid w:val="060D0D66"/>
    <w:rsid w:val="06182975"/>
    <w:rsid w:val="062C2061"/>
    <w:rsid w:val="06311BAC"/>
    <w:rsid w:val="064552D9"/>
    <w:rsid w:val="065C7CD3"/>
    <w:rsid w:val="06697A01"/>
    <w:rsid w:val="06721621"/>
    <w:rsid w:val="06747567"/>
    <w:rsid w:val="06792756"/>
    <w:rsid w:val="067B4559"/>
    <w:rsid w:val="067C67DB"/>
    <w:rsid w:val="068158A4"/>
    <w:rsid w:val="06871A9A"/>
    <w:rsid w:val="06927957"/>
    <w:rsid w:val="069E2EF0"/>
    <w:rsid w:val="06A806B6"/>
    <w:rsid w:val="06AB2A7F"/>
    <w:rsid w:val="06B135FD"/>
    <w:rsid w:val="06BB7ADE"/>
    <w:rsid w:val="06C55827"/>
    <w:rsid w:val="06C632A9"/>
    <w:rsid w:val="06C82223"/>
    <w:rsid w:val="06CD3A92"/>
    <w:rsid w:val="06D118CA"/>
    <w:rsid w:val="06DA6D83"/>
    <w:rsid w:val="06E73497"/>
    <w:rsid w:val="06FB066E"/>
    <w:rsid w:val="07007517"/>
    <w:rsid w:val="07036839"/>
    <w:rsid w:val="07073FA3"/>
    <w:rsid w:val="07090C52"/>
    <w:rsid w:val="071073F0"/>
    <w:rsid w:val="07256B46"/>
    <w:rsid w:val="07262AE1"/>
    <w:rsid w:val="072F7FC6"/>
    <w:rsid w:val="0732584E"/>
    <w:rsid w:val="07391593"/>
    <w:rsid w:val="073A1069"/>
    <w:rsid w:val="07426ACB"/>
    <w:rsid w:val="0743639D"/>
    <w:rsid w:val="075A7EF6"/>
    <w:rsid w:val="075C321E"/>
    <w:rsid w:val="076202A2"/>
    <w:rsid w:val="076A2A73"/>
    <w:rsid w:val="076A5618"/>
    <w:rsid w:val="077324C8"/>
    <w:rsid w:val="07754CC8"/>
    <w:rsid w:val="07774C5C"/>
    <w:rsid w:val="07871169"/>
    <w:rsid w:val="078912E4"/>
    <w:rsid w:val="07961D7F"/>
    <w:rsid w:val="079B2021"/>
    <w:rsid w:val="07AE506C"/>
    <w:rsid w:val="07B54B15"/>
    <w:rsid w:val="07BC23FD"/>
    <w:rsid w:val="07C22AAD"/>
    <w:rsid w:val="07C3764D"/>
    <w:rsid w:val="07CC63DA"/>
    <w:rsid w:val="07D7113E"/>
    <w:rsid w:val="07F6399B"/>
    <w:rsid w:val="07F66AC5"/>
    <w:rsid w:val="07F82721"/>
    <w:rsid w:val="081751D4"/>
    <w:rsid w:val="082D248C"/>
    <w:rsid w:val="0833764C"/>
    <w:rsid w:val="083A0C0C"/>
    <w:rsid w:val="08407581"/>
    <w:rsid w:val="084677D5"/>
    <w:rsid w:val="0848005E"/>
    <w:rsid w:val="084B1A9E"/>
    <w:rsid w:val="084C657D"/>
    <w:rsid w:val="084D12F0"/>
    <w:rsid w:val="08577669"/>
    <w:rsid w:val="087029A6"/>
    <w:rsid w:val="087B6B61"/>
    <w:rsid w:val="087E40F9"/>
    <w:rsid w:val="087F5E7D"/>
    <w:rsid w:val="08887A18"/>
    <w:rsid w:val="08916AA8"/>
    <w:rsid w:val="08923B7D"/>
    <w:rsid w:val="08986A27"/>
    <w:rsid w:val="089F664F"/>
    <w:rsid w:val="08A203F3"/>
    <w:rsid w:val="08AF00C1"/>
    <w:rsid w:val="08B06CCA"/>
    <w:rsid w:val="08B531C0"/>
    <w:rsid w:val="08BB1078"/>
    <w:rsid w:val="08BD1F16"/>
    <w:rsid w:val="08C168E9"/>
    <w:rsid w:val="08C31339"/>
    <w:rsid w:val="08C95BAB"/>
    <w:rsid w:val="08CD401D"/>
    <w:rsid w:val="08D53034"/>
    <w:rsid w:val="08DA28B3"/>
    <w:rsid w:val="08DD2BEF"/>
    <w:rsid w:val="08E96C0E"/>
    <w:rsid w:val="08EF562D"/>
    <w:rsid w:val="08F203BB"/>
    <w:rsid w:val="08FF0843"/>
    <w:rsid w:val="0903652D"/>
    <w:rsid w:val="090556C6"/>
    <w:rsid w:val="09104DCD"/>
    <w:rsid w:val="0919607C"/>
    <w:rsid w:val="091A5CFC"/>
    <w:rsid w:val="091A5ED7"/>
    <w:rsid w:val="091F2183"/>
    <w:rsid w:val="09215687"/>
    <w:rsid w:val="09226210"/>
    <w:rsid w:val="09276AEB"/>
    <w:rsid w:val="092F499C"/>
    <w:rsid w:val="09335E2F"/>
    <w:rsid w:val="094C40B4"/>
    <w:rsid w:val="09575B61"/>
    <w:rsid w:val="09604EF4"/>
    <w:rsid w:val="09606948"/>
    <w:rsid w:val="096E0D4F"/>
    <w:rsid w:val="09736AE0"/>
    <w:rsid w:val="098573A1"/>
    <w:rsid w:val="09874980"/>
    <w:rsid w:val="098C4D36"/>
    <w:rsid w:val="09CB3595"/>
    <w:rsid w:val="09DC3C1F"/>
    <w:rsid w:val="09E30E5D"/>
    <w:rsid w:val="09F04A5A"/>
    <w:rsid w:val="09F331B4"/>
    <w:rsid w:val="0A101B49"/>
    <w:rsid w:val="0A1364A3"/>
    <w:rsid w:val="0A143BE1"/>
    <w:rsid w:val="0A1B1271"/>
    <w:rsid w:val="0A2638DB"/>
    <w:rsid w:val="0A286DFB"/>
    <w:rsid w:val="0A3010C7"/>
    <w:rsid w:val="0A4856E0"/>
    <w:rsid w:val="0A4A2677"/>
    <w:rsid w:val="0A4D3E03"/>
    <w:rsid w:val="0A5164D1"/>
    <w:rsid w:val="0A550568"/>
    <w:rsid w:val="0A617D3D"/>
    <w:rsid w:val="0A6C43DE"/>
    <w:rsid w:val="0A79652B"/>
    <w:rsid w:val="0A8452CE"/>
    <w:rsid w:val="0A871A41"/>
    <w:rsid w:val="0A971D70"/>
    <w:rsid w:val="0ABC02E8"/>
    <w:rsid w:val="0AC16484"/>
    <w:rsid w:val="0AC75762"/>
    <w:rsid w:val="0ACB2015"/>
    <w:rsid w:val="0AD20D5E"/>
    <w:rsid w:val="0AD555AC"/>
    <w:rsid w:val="0AED24FC"/>
    <w:rsid w:val="0B0444E5"/>
    <w:rsid w:val="0B0C593E"/>
    <w:rsid w:val="0B0F4A80"/>
    <w:rsid w:val="0B147818"/>
    <w:rsid w:val="0B1B1997"/>
    <w:rsid w:val="0B1F76CB"/>
    <w:rsid w:val="0B24532C"/>
    <w:rsid w:val="0B290995"/>
    <w:rsid w:val="0B3F6621"/>
    <w:rsid w:val="0B433002"/>
    <w:rsid w:val="0B4D2A88"/>
    <w:rsid w:val="0B527B25"/>
    <w:rsid w:val="0B565626"/>
    <w:rsid w:val="0B5E0983"/>
    <w:rsid w:val="0B6251C3"/>
    <w:rsid w:val="0B6A3337"/>
    <w:rsid w:val="0B6A4840"/>
    <w:rsid w:val="0B707256"/>
    <w:rsid w:val="0B7129F9"/>
    <w:rsid w:val="0B744B6D"/>
    <w:rsid w:val="0B770D72"/>
    <w:rsid w:val="0B7C0AD7"/>
    <w:rsid w:val="0B7E60C9"/>
    <w:rsid w:val="0B8730CC"/>
    <w:rsid w:val="0B8A60C6"/>
    <w:rsid w:val="0B8D7CFF"/>
    <w:rsid w:val="0B927AF3"/>
    <w:rsid w:val="0B942F0D"/>
    <w:rsid w:val="0BA00262"/>
    <w:rsid w:val="0BA069F6"/>
    <w:rsid w:val="0BA92341"/>
    <w:rsid w:val="0BB27E10"/>
    <w:rsid w:val="0BB6397D"/>
    <w:rsid w:val="0BB856CB"/>
    <w:rsid w:val="0BC82D04"/>
    <w:rsid w:val="0BCE3FEB"/>
    <w:rsid w:val="0BD16DAE"/>
    <w:rsid w:val="0BE05B3D"/>
    <w:rsid w:val="0BE12940"/>
    <w:rsid w:val="0BEF4F2C"/>
    <w:rsid w:val="0BF03462"/>
    <w:rsid w:val="0BF56721"/>
    <w:rsid w:val="0C0D4366"/>
    <w:rsid w:val="0C12406A"/>
    <w:rsid w:val="0C1B5A9E"/>
    <w:rsid w:val="0C226DB2"/>
    <w:rsid w:val="0C2B4C6E"/>
    <w:rsid w:val="0C351552"/>
    <w:rsid w:val="0C5161F8"/>
    <w:rsid w:val="0C52360D"/>
    <w:rsid w:val="0C5B51E5"/>
    <w:rsid w:val="0C721B20"/>
    <w:rsid w:val="0C7B2063"/>
    <w:rsid w:val="0C7C1976"/>
    <w:rsid w:val="0C886C9D"/>
    <w:rsid w:val="0CAC6DE2"/>
    <w:rsid w:val="0CBA5E3E"/>
    <w:rsid w:val="0CC54F61"/>
    <w:rsid w:val="0CCB3B11"/>
    <w:rsid w:val="0CD82F88"/>
    <w:rsid w:val="0CDE55BC"/>
    <w:rsid w:val="0CDF3914"/>
    <w:rsid w:val="0CEA0AED"/>
    <w:rsid w:val="0CEA2CF7"/>
    <w:rsid w:val="0CF377F7"/>
    <w:rsid w:val="0CF51457"/>
    <w:rsid w:val="0D035130"/>
    <w:rsid w:val="0D222892"/>
    <w:rsid w:val="0D225E27"/>
    <w:rsid w:val="0D23336E"/>
    <w:rsid w:val="0D257E20"/>
    <w:rsid w:val="0D284B82"/>
    <w:rsid w:val="0D292FA3"/>
    <w:rsid w:val="0D2E60EE"/>
    <w:rsid w:val="0D3A5239"/>
    <w:rsid w:val="0D3A7039"/>
    <w:rsid w:val="0D415F82"/>
    <w:rsid w:val="0D4356A8"/>
    <w:rsid w:val="0D502BB6"/>
    <w:rsid w:val="0D5B0F8B"/>
    <w:rsid w:val="0D6D5450"/>
    <w:rsid w:val="0D750EA4"/>
    <w:rsid w:val="0D766925"/>
    <w:rsid w:val="0D767C8F"/>
    <w:rsid w:val="0D7A31E2"/>
    <w:rsid w:val="0D7F602A"/>
    <w:rsid w:val="0D8735F9"/>
    <w:rsid w:val="0D8972A3"/>
    <w:rsid w:val="0D94436C"/>
    <w:rsid w:val="0D980C13"/>
    <w:rsid w:val="0DB607B8"/>
    <w:rsid w:val="0DBF30CC"/>
    <w:rsid w:val="0DC22600"/>
    <w:rsid w:val="0DC51AC4"/>
    <w:rsid w:val="0DC63EF2"/>
    <w:rsid w:val="0DD75C5E"/>
    <w:rsid w:val="0DD806E1"/>
    <w:rsid w:val="0DD9749D"/>
    <w:rsid w:val="0DE51158"/>
    <w:rsid w:val="0DE67813"/>
    <w:rsid w:val="0DE9579A"/>
    <w:rsid w:val="0DF843DB"/>
    <w:rsid w:val="0DFA693B"/>
    <w:rsid w:val="0DFC7303"/>
    <w:rsid w:val="0DFF4B13"/>
    <w:rsid w:val="0E093416"/>
    <w:rsid w:val="0E0C3DDC"/>
    <w:rsid w:val="0E3756DF"/>
    <w:rsid w:val="0E3D2E6B"/>
    <w:rsid w:val="0E402695"/>
    <w:rsid w:val="0E594720"/>
    <w:rsid w:val="0E5D33A0"/>
    <w:rsid w:val="0E6B26B6"/>
    <w:rsid w:val="0E6B4543"/>
    <w:rsid w:val="0E777792"/>
    <w:rsid w:val="0E7A2CD0"/>
    <w:rsid w:val="0E7B1FCA"/>
    <w:rsid w:val="0E7E7158"/>
    <w:rsid w:val="0E85325F"/>
    <w:rsid w:val="0E880E39"/>
    <w:rsid w:val="0E904E74"/>
    <w:rsid w:val="0E995783"/>
    <w:rsid w:val="0E9D025B"/>
    <w:rsid w:val="0EA8225F"/>
    <w:rsid w:val="0EA87B9E"/>
    <w:rsid w:val="0EBC11BB"/>
    <w:rsid w:val="0EBF433E"/>
    <w:rsid w:val="0EC927BE"/>
    <w:rsid w:val="0ECA2E90"/>
    <w:rsid w:val="0ED01837"/>
    <w:rsid w:val="0ED12131"/>
    <w:rsid w:val="0ED33A29"/>
    <w:rsid w:val="0EE15B77"/>
    <w:rsid w:val="0EF3650F"/>
    <w:rsid w:val="0EF7535A"/>
    <w:rsid w:val="0EF97174"/>
    <w:rsid w:val="0EFD2E1E"/>
    <w:rsid w:val="0F0260AC"/>
    <w:rsid w:val="0F0F3D45"/>
    <w:rsid w:val="0F1C6C56"/>
    <w:rsid w:val="0F2550AA"/>
    <w:rsid w:val="0F3A116B"/>
    <w:rsid w:val="0F48005B"/>
    <w:rsid w:val="0F4B2361"/>
    <w:rsid w:val="0F511411"/>
    <w:rsid w:val="0F5D6236"/>
    <w:rsid w:val="0F703346"/>
    <w:rsid w:val="0F7066E0"/>
    <w:rsid w:val="0F80004E"/>
    <w:rsid w:val="0F8640DB"/>
    <w:rsid w:val="0F871EAB"/>
    <w:rsid w:val="0F8D4823"/>
    <w:rsid w:val="0F9022FF"/>
    <w:rsid w:val="0F9F1528"/>
    <w:rsid w:val="0FAB700A"/>
    <w:rsid w:val="0FC03992"/>
    <w:rsid w:val="0FC96267"/>
    <w:rsid w:val="0FD51005"/>
    <w:rsid w:val="0FDF5A14"/>
    <w:rsid w:val="0FE30C1D"/>
    <w:rsid w:val="1008703A"/>
    <w:rsid w:val="100F718A"/>
    <w:rsid w:val="10126FBC"/>
    <w:rsid w:val="101420A5"/>
    <w:rsid w:val="10297193"/>
    <w:rsid w:val="10345524"/>
    <w:rsid w:val="103809FF"/>
    <w:rsid w:val="103B4DE8"/>
    <w:rsid w:val="104344BA"/>
    <w:rsid w:val="1046543F"/>
    <w:rsid w:val="10580BDC"/>
    <w:rsid w:val="105B1B61"/>
    <w:rsid w:val="10600639"/>
    <w:rsid w:val="106C2409"/>
    <w:rsid w:val="10755F8E"/>
    <w:rsid w:val="10764104"/>
    <w:rsid w:val="10816F43"/>
    <w:rsid w:val="10894C2E"/>
    <w:rsid w:val="108B6D7B"/>
    <w:rsid w:val="108D3635"/>
    <w:rsid w:val="1096068D"/>
    <w:rsid w:val="10B951CF"/>
    <w:rsid w:val="10BB3068"/>
    <w:rsid w:val="10CB0F1B"/>
    <w:rsid w:val="10D82C05"/>
    <w:rsid w:val="10F81694"/>
    <w:rsid w:val="10F945B2"/>
    <w:rsid w:val="11061C8F"/>
    <w:rsid w:val="110E3EB6"/>
    <w:rsid w:val="11131D94"/>
    <w:rsid w:val="11137DE4"/>
    <w:rsid w:val="11144257"/>
    <w:rsid w:val="111778A8"/>
    <w:rsid w:val="111E4B32"/>
    <w:rsid w:val="1122192A"/>
    <w:rsid w:val="112315AA"/>
    <w:rsid w:val="1124277B"/>
    <w:rsid w:val="112A1125"/>
    <w:rsid w:val="112A3725"/>
    <w:rsid w:val="112C7D69"/>
    <w:rsid w:val="11454527"/>
    <w:rsid w:val="114731E5"/>
    <w:rsid w:val="11526A96"/>
    <w:rsid w:val="11617971"/>
    <w:rsid w:val="11622F64"/>
    <w:rsid w:val="116F4939"/>
    <w:rsid w:val="11846297"/>
    <w:rsid w:val="118660F9"/>
    <w:rsid w:val="11922EE2"/>
    <w:rsid w:val="11A2517F"/>
    <w:rsid w:val="11A4040E"/>
    <w:rsid w:val="11AC730F"/>
    <w:rsid w:val="11AD4D58"/>
    <w:rsid w:val="11B13797"/>
    <w:rsid w:val="11B67206"/>
    <w:rsid w:val="11BA4661"/>
    <w:rsid w:val="11BA6A1A"/>
    <w:rsid w:val="11BF1687"/>
    <w:rsid w:val="11C70182"/>
    <w:rsid w:val="11E12C61"/>
    <w:rsid w:val="11E411C4"/>
    <w:rsid w:val="11E43DA7"/>
    <w:rsid w:val="11EB6DF4"/>
    <w:rsid w:val="11EE75FC"/>
    <w:rsid w:val="11FA0A55"/>
    <w:rsid w:val="11FA2349"/>
    <w:rsid w:val="12044AB3"/>
    <w:rsid w:val="120E02AD"/>
    <w:rsid w:val="12117034"/>
    <w:rsid w:val="12124AB5"/>
    <w:rsid w:val="121F3DCB"/>
    <w:rsid w:val="122E2D61"/>
    <w:rsid w:val="12342A01"/>
    <w:rsid w:val="123B6C22"/>
    <w:rsid w:val="123F12C9"/>
    <w:rsid w:val="12427803"/>
    <w:rsid w:val="12533BE9"/>
    <w:rsid w:val="125C03AD"/>
    <w:rsid w:val="126548EE"/>
    <w:rsid w:val="12672AB8"/>
    <w:rsid w:val="12817181"/>
    <w:rsid w:val="12892176"/>
    <w:rsid w:val="12921148"/>
    <w:rsid w:val="12966407"/>
    <w:rsid w:val="129B1196"/>
    <w:rsid w:val="129E41E5"/>
    <w:rsid w:val="129E6898"/>
    <w:rsid w:val="12A50021"/>
    <w:rsid w:val="12AA4BE9"/>
    <w:rsid w:val="12B20DBB"/>
    <w:rsid w:val="12B40A3B"/>
    <w:rsid w:val="12C003F7"/>
    <w:rsid w:val="12C7679B"/>
    <w:rsid w:val="12DD774D"/>
    <w:rsid w:val="12DF0986"/>
    <w:rsid w:val="12E20B88"/>
    <w:rsid w:val="12E2190B"/>
    <w:rsid w:val="130265BC"/>
    <w:rsid w:val="13130905"/>
    <w:rsid w:val="13272F78"/>
    <w:rsid w:val="133D2F1E"/>
    <w:rsid w:val="133E4EC4"/>
    <w:rsid w:val="135C37D3"/>
    <w:rsid w:val="13627948"/>
    <w:rsid w:val="136404F3"/>
    <w:rsid w:val="136818E0"/>
    <w:rsid w:val="137E2663"/>
    <w:rsid w:val="13915834"/>
    <w:rsid w:val="13B61E8E"/>
    <w:rsid w:val="13BF21F2"/>
    <w:rsid w:val="13C23A1B"/>
    <w:rsid w:val="13C41752"/>
    <w:rsid w:val="13C72FD3"/>
    <w:rsid w:val="13C76244"/>
    <w:rsid w:val="13C82B02"/>
    <w:rsid w:val="13CF28FB"/>
    <w:rsid w:val="13D057B7"/>
    <w:rsid w:val="13DA7C15"/>
    <w:rsid w:val="13E001A9"/>
    <w:rsid w:val="13E02727"/>
    <w:rsid w:val="13E52432"/>
    <w:rsid w:val="13E905BF"/>
    <w:rsid w:val="13EA2C90"/>
    <w:rsid w:val="13EA5E5F"/>
    <w:rsid w:val="13F83651"/>
    <w:rsid w:val="14052967"/>
    <w:rsid w:val="14054F72"/>
    <w:rsid w:val="140F27D6"/>
    <w:rsid w:val="14107AE9"/>
    <w:rsid w:val="14175E0A"/>
    <w:rsid w:val="141C258C"/>
    <w:rsid w:val="141E1102"/>
    <w:rsid w:val="141F1BA5"/>
    <w:rsid w:val="142007B3"/>
    <w:rsid w:val="14216A14"/>
    <w:rsid w:val="14254028"/>
    <w:rsid w:val="142A2204"/>
    <w:rsid w:val="14461DA9"/>
    <w:rsid w:val="144B6FBB"/>
    <w:rsid w:val="1451723E"/>
    <w:rsid w:val="14634805"/>
    <w:rsid w:val="146A14F7"/>
    <w:rsid w:val="1472255F"/>
    <w:rsid w:val="147719A1"/>
    <w:rsid w:val="14782396"/>
    <w:rsid w:val="1479577A"/>
    <w:rsid w:val="147C16AC"/>
    <w:rsid w:val="147E5426"/>
    <w:rsid w:val="148942E3"/>
    <w:rsid w:val="148B031E"/>
    <w:rsid w:val="148E2DB2"/>
    <w:rsid w:val="14912A67"/>
    <w:rsid w:val="1492597B"/>
    <w:rsid w:val="14927FCC"/>
    <w:rsid w:val="14AC25B0"/>
    <w:rsid w:val="14AE0BED"/>
    <w:rsid w:val="14AF303C"/>
    <w:rsid w:val="14AF4133"/>
    <w:rsid w:val="14BC4717"/>
    <w:rsid w:val="14BE55AD"/>
    <w:rsid w:val="14C355CD"/>
    <w:rsid w:val="14D4220A"/>
    <w:rsid w:val="14E13279"/>
    <w:rsid w:val="14E52CFF"/>
    <w:rsid w:val="14E80346"/>
    <w:rsid w:val="14EC699A"/>
    <w:rsid w:val="1501033F"/>
    <w:rsid w:val="1502113A"/>
    <w:rsid w:val="151308D4"/>
    <w:rsid w:val="1525202B"/>
    <w:rsid w:val="15281376"/>
    <w:rsid w:val="152D5C4C"/>
    <w:rsid w:val="15362A23"/>
    <w:rsid w:val="154001A6"/>
    <w:rsid w:val="15422545"/>
    <w:rsid w:val="15435BF2"/>
    <w:rsid w:val="155B339E"/>
    <w:rsid w:val="15636A1F"/>
    <w:rsid w:val="156508EF"/>
    <w:rsid w:val="1568542B"/>
    <w:rsid w:val="15693006"/>
    <w:rsid w:val="156A222E"/>
    <w:rsid w:val="15716A99"/>
    <w:rsid w:val="157177C3"/>
    <w:rsid w:val="1581047E"/>
    <w:rsid w:val="15895642"/>
    <w:rsid w:val="15A444EB"/>
    <w:rsid w:val="15A93017"/>
    <w:rsid w:val="15AC3F9C"/>
    <w:rsid w:val="15B0540D"/>
    <w:rsid w:val="15B10740"/>
    <w:rsid w:val="15B47AB3"/>
    <w:rsid w:val="15B7532E"/>
    <w:rsid w:val="15C164C0"/>
    <w:rsid w:val="15C84147"/>
    <w:rsid w:val="15CA017F"/>
    <w:rsid w:val="15D64DE0"/>
    <w:rsid w:val="15D71AD5"/>
    <w:rsid w:val="15DC38C2"/>
    <w:rsid w:val="15E211F7"/>
    <w:rsid w:val="15E33BD2"/>
    <w:rsid w:val="15E40C88"/>
    <w:rsid w:val="15F23B4A"/>
    <w:rsid w:val="15FC08F6"/>
    <w:rsid w:val="16050CCE"/>
    <w:rsid w:val="160B706E"/>
    <w:rsid w:val="160F4041"/>
    <w:rsid w:val="16175D54"/>
    <w:rsid w:val="162503E3"/>
    <w:rsid w:val="162B4831"/>
    <w:rsid w:val="163D5A89"/>
    <w:rsid w:val="1646133C"/>
    <w:rsid w:val="165752E8"/>
    <w:rsid w:val="16591B36"/>
    <w:rsid w:val="165931D9"/>
    <w:rsid w:val="16635CC9"/>
    <w:rsid w:val="16682D3E"/>
    <w:rsid w:val="167046E9"/>
    <w:rsid w:val="16773DD0"/>
    <w:rsid w:val="167C0DF1"/>
    <w:rsid w:val="167E382D"/>
    <w:rsid w:val="1680302E"/>
    <w:rsid w:val="169A04A0"/>
    <w:rsid w:val="169D6A46"/>
    <w:rsid w:val="16A6304D"/>
    <w:rsid w:val="16D61758"/>
    <w:rsid w:val="16DC0535"/>
    <w:rsid w:val="16EB272A"/>
    <w:rsid w:val="16EB60B5"/>
    <w:rsid w:val="16EF74E9"/>
    <w:rsid w:val="16F27D5E"/>
    <w:rsid w:val="170716B6"/>
    <w:rsid w:val="1707417F"/>
    <w:rsid w:val="170A3ED8"/>
    <w:rsid w:val="17126D66"/>
    <w:rsid w:val="17165852"/>
    <w:rsid w:val="171C7676"/>
    <w:rsid w:val="17241925"/>
    <w:rsid w:val="1731761B"/>
    <w:rsid w:val="17332ADC"/>
    <w:rsid w:val="173D4671"/>
    <w:rsid w:val="1743129B"/>
    <w:rsid w:val="1748083E"/>
    <w:rsid w:val="174A1E03"/>
    <w:rsid w:val="17553F9F"/>
    <w:rsid w:val="175623CE"/>
    <w:rsid w:val="176538DA"/>
    <w:rsid w:val="1794775D"/>
    <w:rsid w:val="17C376AD"/>
    <w:rsid w:val="17CB4905"/>
    <w:rsid w:val="17CD749A"/>
    <w:rsid w:val="17CF4183"/>
    <w:rsid w:val="17D01F3A"/>
    <w:rsid w:val="17DA01E6"/>
    <w:rsid w:val="17DB3BDE"/>
    <w:rsid w:val="17DB67AF"/>
    <w:rsid w:val="17DC7DAF"/>
    <w:rsid w:val="17DF40F7"/>
    <w:rsid w:val="17EE0FBD"/>
    <w:rsid w:val="17EF0CD3"/>
    <w:rsid w:val="17F01ECF"/>
    <w:rsid w:val="17F0662B"/>
    <w:rsid w:val="1809187D"/>
    <w:rsid w:val="180E4FC5"/>
    <w:rsid w:val="18171331"/>
    <w:rsid w:val="1824372C"/>
    <w:rsid w:val="18266C2F"/>
    <w:rsid w:val="18396192"/>
    <w:rsid w:val="184A4BE3"/>
    <w:rsid w:val="184A54E3"/>
    <w:rsid w:val="185060EC"/>
    <w:rsid w:val="185A42FA"/>
    <w:rsid w:val="185C3885"/>
    <w:rsid w:val="18717FA7"/>
    <w:rsid w:val="18747CDC"/>
    <w:rsid w:val="187E568C"/>
    <w:rsid w:val="18870C54"/>
    <w:rsid w:val="18882132"/>
    <w:rsid w:val="189D2207"/>
    <w:rsid w:val="189F08D1"/>
    <w:rsid w:val="18A45C40"/>
    <w:rsid w:val="18A57A6A"/>
    <w:rsid w:val="18A768A8"/>
    <w:rsid w:val="18B9619D"/>
    <w:rsid w:val="18CF7A5D"/>
    <w:rsid w:val="18D57338"/>
    <w:rsid w:val="18D8074F"/>
    <w:rsid w:val="18DA4154"/>
    <w:rsid w:val="18E21560"/>
    <w:rsid w:val="18E24F5C"/>
    <w:rsid w:val="18E96032"/>
    <w:rsid w:val="18EB61E0"/>
    <w:rsid w:val="18EC15F6"/>
    <w:rsid w:val="18EE62E8"/>
    <w:rsid w:val="18F845CE"/>
    <w:rsid w:val="18F96461"/>
    <w:rsid w:val="19116F8E"/>
    <w:rsid w:val="1914310D"/>
    <w:rsid w:val="191477B1"/>
    <w:rsid w:val="19551A74"/>
    <w:rsid w:val="195F7D63"/>
    <w:rsid w:val="19601E2E"/>
    <w:rsid w:val="196E49C7"/>
    <w:rsid w:val="197C2433"/>
    <w:rsid w:val="198606C0"/>
    <w:rsid w:val="19933139"/>
    <w:rsid w:val="19AC4F46"/>
    <w:rsid w:val="19D57461"/>
    <w:rsid w:val="19E567BF"/>
    <w:rsid w:val="19E74602"/>
    <w:rsid w:val="19EA1D92"/>
    <w:rsid w:val="19EE7D0B"/>
    <w:rsid w:val="1A0639B0"/>
    <w:rsid w:val="1A077D86"/>
    <w:rsid w:val="1A081343"/>
    <w:rsid w:val="1A085685"/>
    <w:rsid w:val="1A12477C"/>
    <w:rsid w:val="1A1254D5"/>
    <w:rsid w:val="1A191F3E"/>
    <w:rsid w:val="1A4A567E"/>
    <w:rsid w:val="1A4D4035"/>
    <w:rsid w:val="1A5163D6"/>
    <w:rsid w:val="1A54768F"/>
    <w:rsid w:val="1A566EC3"/>
    <w:rsid w:val="1A5A669E"/>
    <w:rsid w:val="1A6A5CDF"/>
    <w:rsid w:val="1A6D2CE0"/>
    <w:rsid w:val="1A79617E"/>
    <w:rsid w:val="1A796C32"/>
    <w:rsid w:val="1A83450F"/>
    <w:rsid w:val="1A8C57B1"/>
    <w:rsid w:val="1A9853AE"/>
    <w:rsid w:val="1A9A4135"/>
    <w:rsid w:val="1AB6495E"/>
    <w:rsid w:val="1AB9028C"/>
    <w:rsid w:val="1AC56317"/>
    <w:rsid w:val="1AD471EE"/>
    <w:rsid w:val="1AD6319E"/>
    <w:rsid w:val="1AD73F99"/>
    <w:rsid w:val="1AE5062C"/>
    <w:rsid w:val="1AE71464"/>
    <w:rsid w:val="1B1378A1"/>
    <w:rsid w:val="1B294C9D"/>
    <w:rsid w:val="1B2B7228"/>
    <w:rsid w:val="1B3F22DB"/>
    <w:rsid w:val="1B4A0A55"/>
    <w:rsid w:val="1B4B651F"/>
    <w:rsid w:val="1B585C3E"/>
    <w:rsid w:val="1B5C41F3"/>
    <w:rsid w:val="1B777BC9"/>
    <w:rsid w:val="1B7D10D5"/>
    <w:rsid w:val="1B8D6B92"/>
    <w:rsid w:val="1B90327A"/>
    <w:rsid w:val="1B936CD6"/>
    <w:rsid w:val="1B9379C1"/>
    <w:rsid w:val="1B990279"/>
    <w:rsid w:val="1B9B4E1C"/>
    <w:rsid w:val="1B9C50E9"/>
    <w:rsid w:val="1BA04CC7"/>
    <w:rsid w:val="1BAA5FDD"/>
    <w:rsid w:val="1BAD4429"/>
    <w:rsid w:val="1BB80557"/>
    <w:rsid w:val="1BBC1606"/>
    <w:rsid w:val="1BBC1F56"/>
    <w:rsid w:val="1BD91A80"/>
    <w:rsid w:val="1BE641ED"/>
    <w:rsid w:val="1BEE30A8"/>
    <w:rsid w:val="1BF24F3D"/>
    <w:rsid w:val="1BF5780F"/>
    <w:rsid w:val="1BFD5FA2"/>
    <w:rsid w:val="1C0B0B13"/>
    <w:rsid w:val="1C17197B"/>
    <w:rsid w:val="1C1D36F1"/>
    <w:rsid w:val="1C291BAA"/>
    <w:rsid w:val="1C3730C8"/>
    <w:rsid w:val="1C386892"/>
    <w:rsid w:val="1C4A2683"/>
    <w:rsid w:val="1C5043AD"/>
    <w:rsid w:val="1C5A1B35"/>
    <w:rsid w:val="1C5F292D"/>
    <w:rsid w:val="1C5F3B2B"/>
    <w:rsid w:val="1C5F4D1A"/>
    <w:rsid w:val="1C631E26"/>
    <w:rsid w:val="1C7530BF"/>
    <w:rsid w:val="1C833C55"/>
    <w:rsid w:val="1C916922"/>
    <w:rsid w:val="1C9A167C"/>
    <w:rsid w:val="1CAC1596"/>
    <w:rsid w:val="1CB42226"/>
    <w:rsid w:val="1CBC5611"/>
    <w:rsid w:val="1CD22EF6"/>
    <w:rsid w:val="1CD7177C"/>
    <w:rsid w:val="1CE479B7"/>
    <w:rsid w:val="1CF005FD"/>
    <w:rsid w:val="1CF20E5C"/>
    <w:rsid w:val="1CF6531E"/>
    <w:rsid w:val="1CF73467"/>
    <w:rsid w:val="1D072AAC"/>
    <w:rsid w:val="1D0B195E"/>
    <w:rsid w:val="1D243745"/>
    <w:rsid w:val="1D326AA2"/>
    <w:rsid w:val="1D353A79"/>
    <w:rsid w:val="1D3570D5"/>
    <w:rsid w:val="1D3B1205"/>
    <w:rsid w:val="1D4E0EB2"/>
    <w:rsid w:val="1D520E2A"/>
    <w:rsid w:val="1D5F3EE4"/>
    <w:rsid w:val="1D6934AB"/>
    <w:rsid w:val="1D693FA7"/>
    <w:rsid w:val="1D6C05DE"/>
    <w:rsid w:val="1D7D6636"/>
    <w:rsid w:val="1D7F7370"/>
    <w:rsid w:val="1D8273D4"/>
    <w:rsid w:val="1D8B6A06"/>
    <w:rsid w:val="1D8D0962"/>
    <w:rsid w:val="1D8F4E65"/>
    <w:rsid w:val="1DB553DF"/>
    <w:rsid w:val="1DBF1882"/>
    <w:rsid w:val="1DC70ACB"/>
    <w:rsid w:val="1DCE2972"/>
    <w:rsid w:val="1DD941F6"/>
    <w:rsid w:val="1DF17BE1"/>
    <w:rsid w:val="1DF32B81"/>
    <w:rsid w:val="1DF660B5"/>
    <w:rsid w:val="1DFC1393"/>
    <w:rsid w:val="1E1259E5"/>
    <w:rsid w:val="1E1E39F6"/>
    <w:rsid w:val="1E1F7738"/>
    <w:rsid w:val="1E4719A3"/>
    <w:rsid w:val="1E572FAE"/>
    <w:rsid w:val="1E5E2D02"/>
    <w:rsid w:val="1E5F1F97"/>
    <w:rsid w:val="1E685BCF"/>
    <w:rsid w:val="1E6C5F4E"/>
    <w:rsid w:val="1E800F1B"/>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B081F"/>
    <w:rsid w:val="1EEC719E"/>
    <w:rsid w:val="1EEF3076"/>
    <w:rsid w:val="1EF7018A"/>
    <w:rsid w:val="1EF93593"/>
    <w:rsid w:val="1F0242AA"/>
    <w:rsid w:val="1F044236"/>
    <w:rsid w:val="1F0E46BB"/>
    <w:rsid w:val="1F16618C"/>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8232BD"/>
    <w:rsid w:val="1F890898"/>
    <w:rsid w:val="1F8C7450"/>
    <w:rsid w:val="1FAF2E88"/>
    <w:rsid w:val="1FB80942"/>
    <w:rsid w:val="1FBB5482"/>
    <w:rsid w:val="1FC11EA9"/>
    <w:rsid w:val="1FD45A77"/>
    <w:rsid w:val="1FD473C2"/>
    <w:rsid w:val="1FF977BD"/>
    <w:rsid w:val="2001262E"/>
    <w:rsid w:val="2008253C"/>
    <w:rsid w:val="200D64BE"/>
    <w:rsid w:val="20153599"/>
    <w:rsid w:val="20172295"/>
    <w:rsid w:val="201B2789"/>
    <w:rsid w:val="20256516"/>
    <w:rsid w:val="20286E13"/>
    <w:rsid w:val="204F4F90"/>
    <w:rsid w:val="20584BED"/>
    <w:rsid w:val="205B68F3"/>
    <w:rsid w:val="20CB0AB1"/>
    <w:rsid w:val="20D60AAE"/>
    <w:rsid w:val="20EE5FF8"/>
    <w:rsid w:val="20F215C4"/>
    <w:rsid w:val="20FE18CB"/>
    <w:rsid w:val="21061BA2"/>
    <w:rsid w:val="2112512E"/>
    <w:rsid w:val="2121427E"/>
    <w:rsid w:val="21262CBA"/>
    <w:rsid w:val="212B1C97"/>
    <w:rsid w:val="21323004"/>
    <w:rsid w:val="21361FB5"/>
    <w:rsid w:val="213A5FD8"/>
    <w:rsid w:val="214B3D89"/>
    <w:rsid w:val="214E3823"/>
    <w:rsid w:val="21575426"/>
    <w:rsid w:val="215C1F77"/>
    <w:rsid w:val="216B0BDF"/>
    <w:rsid w:val="2177769E"/>
    <w:rsid w:val="218019AE"/>
    <w:rsid w:val="218940EF"/>
    <w:rsid w:val="218E620A"/>
    <w:rsid w:val="21AB5CB4"/>
    <w:rsid w:val="21D01C09"/>
    <w:rsid w:val="21D25FF2"/>
    <w:rsid w:val="21D41512"/>
    <w:rsid w:val="21F52495"/>
    <w:rsid w:val="21F70210"/>
    <w:rsid w:val="221D6C29"/>
    <w:rsid w:val="22207409"/>
    <w:rsid w:val="222A0600"/>
    <w:rsid w:val="22344A9E"/>
    <w:rsid w:val="22363269"/>
    <w:rsid w:val="223A3836"/>
    <w:rsid w:val="223C2DAF"/>
    <w:rsid w:val="223E2651"/>
    <w:rsid w:val="2248503C"/>
    <w:rsid w:val="224E39C0"/>
    <w:rsid w:val="225F01F3"/>
    <w:rsid w:val="22616311"/>
    <w:rsid w:val="22635774"/>
    <w:rsid w:val="226575C4"/>
    <w:rsid w:val="22682C5C"/>
    <w:rsid w:val="22685C08"/>
    <w:rsid w:val="226D3EEA"/>
    <w:rsid w:val="226E077B"/>
    <w:rsid w:val="2291610E"/>
    <w:rsid w:val="22923DE9"/>
    <w:rsid w:val="229473C8"/>
    <w:rsid w:val="22956F09"/>
    <w:rsid w:val="22962F20"/>
    <w:rsid w:val="22973417"/>
    <w:rsid w:val="229D5794"/>
    <w:rsid w:val="22A379E2"/>
    <w:rsid w:val="22A85F23"/>
    <w:rsid w:val="22C17DB5"/>
    <w:rsid w:val="22C629AC"/>
    <w:rsid w:val="22DD27AA"/>
    <w:rsid w:val="22DE0AC1"/>
    <w:rsid w:val="22DE2AD5"/>
    <w:rsid w:val="22E84C54"/>
    <w:rsid w:val="22E96F92"/>
    <w:rsid w:val="22FE0FF6"/>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921869"/>
    <w:rsid w:val="23943633"/>
    <w:rsid w:val="239F724D"/>
    <w:rsid w:val="23A14082"/>
    <w:rsid w:val="23AB1721"/>
    <w:rsid w:val="23C46955"/>
    <w:rsid w:val="23C579E4"/>
    <w:rsid w:val="23D47D54"/>
    <w:rsid w:val="23D744C2"/>
    <w:rsid w:val="23DF1969"/>
    <w:rsid w:val="23EF0BE1"/>
    <w:rsid w:val="24002E5E"/>
    <w:rsid w:val="240366A5"/>
    <w:rsid w:val="240A022E"/>
    <w:rsid w:val="240A3AB2"/>
    <w:rsid w:val="241370E7"/>
    <w:rsid w:val="24184673"/>
    <w:rsid w:val="242136F5"/>
    <w:rsid w:val="2445130D"/>
    <w:rsid w:val="244C451B"/>
    <w:rsid w:val="245A6743"/>
    <w:rsid w:val="246A08B9"/>
    <w:rsid w:val="24754B15"/>
    <w:rsid w:val="247B459F"/>
    <w:rsid w:val="247E276B"/>
    <w:rsid w:val="247F64CC"/>
    <w:rsid w:val="24836BF3"/>
    <w:rsid w:val="248674BE"/>
    <w:rsid w:val="248D420D"/>
    <w:rsid w:val="24921B27"/>
    <w:rsid w:val="24990D97"/>
    <w:rsid w:val="249E0DC7"/>
    <w:rsid w:val="249E776E"/>
    <w:rsid w:val="24A0121D"/>
    <w:rsid w:val="24AE3BA0"/>
    <w:rsid w:val="24B97631"/>
    <w:rsid w:val="24BD3555"/>
    <w:rsid w:val="24BE6532"/>
    <w:rsid w:val="24C90419"/>
    <w:rsid w:val="24CD087B"/>
    <w:rsid w:val="24E22490"/>
    <w:rsid w:val="24E32289"/>
    <w:rsid w:val="24ED1C1E"/>
    <w:rsid w:val="24F0284D"/>
    <w:rsid w:val="24F35105"/>
    <w:rsid w:val="2501142A"/>
    <w:rsid w:val="250C32D4"/>
    <w:rsid w:val="250E20E4"/>
    <w:rsid w:val="25120691"/>
    <w:rsid w:val="251A40CA"/>
    <w:rsid w:val="251B38EF"/>
    <w:rsid w:val="25202C91"/>
    <w:rsid w:val="252331A5"/>
    <w:rsid w:val="25255254"/>
    <w:rsid w:val="252733A0"/>
    <w:rsid w:val="252D0D5E"/>
    <w:rsid w:val="25316995"/>
    <w:rsid w:val="25392E9F"/>
    <w:rsid w:val="25425A19"/>
    <w:rsid w:val="25437031"/>
    <w:rsid w:val="25446CB1"/>
    <w:rsid w:val="25490B3E"/>
    <w:rsid w:val="254F5042"/>
    <w:rsid w:val="255A445E"/>
    <w:rsid w:val="25633CE3"/>
    <w:rsid w:val="25660EB1"/>
    <w:rsid w:val="256F1A53"/>
    <w:rsid w:val="25710087"/>
    <w:rsid w:val="2579170A"/>
    <w:rsid w:val="258B2F2B"/>
    <w:rsid w:val="258B31A0"/>
    <w:rsid w:val="25997A40"/>
    <w:rsid w:val="25AB3D1C"/>
    <w:rsid w:val="25AD773E"/>
    <w:rsid w:val="25BD0D5A"/>
    <w:rsid w:val="25C93B2C"/>
    <w:rsid w:val="25D141DA"/>
    <w:rsid w:val="25D90A1B"/>
    <w:rsid w:val="25E22192"/>
    <w:rsid w:val="25E25630"/>
    <w:rsid w:val="25E37AB4"/>
    <w:rsid w:val="25E75557"/>
    <w:rsid w:val="25EB519E"/>
    <w:rsid w:val="25F332FF"/>
    <w:rsid w:val="25FE37D6"/>
    <w:rsid w:val="260B31F7"/>
    <w:rsid w:val="260D72CA"/>
    <w:rsid w:val="26274BB6"/>
    <w:rsid w:val="26307BB3"/>
    <w:rsid w:val="26356536"/>
    <w:rsid w:val="263C67ED"/>
    <w:rsid w:val="26414073"/>
    <w:rsid w:val="265B4E67"/>
    <w:rsid w:val="266900A5"/>
    <w:rsid w:val="266A6A94"/>
    <w:rsid w:val="267B581D"/>
    <w:rsid w:val="267D046D"/>
    <w:rsid w:val="268B243A"/>
    <w:rsid w:val="268B66D1"/>
    <w:rsid w:val="268F6DE0"/>
    <w:rsid w:val="269A1027"/>
    <w:rsid w:val="269C627F"/>
    <w:rsid w:val="26A6403E"/>
    <w:rsid w:val="26AA20D3"/>
    <w:rsid w:val="26AB6FD3"/>
    <w:rsid w:val="26B43DCE"/>
    <w:rsid w:val="26B92096"/>
    <w:rsid w:val="26BA4865"/>
    <w:rsid w:val="26C705B0"/>
    <w:rsid w:val="26D903CC"/>
    <w:rsid w:val="26D95783"/>
    <w:rsid w:val="26DD3B73"/>
    <w:rsid w:val="26E576C7"/>
    <w:rsid w:val="26E63E5F"/>
    <w:rsid w:val="26E86041"/>
    <w:rsid w:val="26F04260"/>
    <w:rsid w:val="26F81EB4"/>
    <w:rsid w:val="26FB2F1B"/>
    <w:rsid w:val="27075A64"/>
    <w:rsid w:val="270B5A07"/>
    <w:rsid w:val="270F5023"/>
    <w:rsid w:val="27173613"/>
    <w:rsid w:val="271E1C7E"/>
    <w:rsid w:val="27310B9A"/>
    <w:rsid w:val="273E1C11"/>
    <w:rsid w:val="27490C18"/>
    <w:rsid w:val="27511867"/>
    <w:rsid w:val="275265C3"/>
    <w:rsid w:val="27567996"/>
    <w:rsid w:val="275E4DA2"/>
    <w:rsid w:val="276B112C"/>
    <w:rsid w:val="27815619"/>
    <w:rsid w:val="27836BEF"/>
    <w:rsid w:val="278E3373"/>
    <w:rsid w:val="279664C8"/>
    <w:rsid w:val="279E2679"/>
    <w:rsid w:val="279F554C"/>
    <w:rsid w:val="27AD7087"/>
    <w:rsid w:val="27CF3DDC"/>
    <w:rsid w:val="27D37390"/>
    <w:rsid w:val="27D65541"/>
    <w:rsid w:val="27D76E3B"/>
    <w:rsid w:val="27DF76E4"/>
    <w:rsid w:val="27E32A7D"/>
    <w:rsid w:val="27EC5FCE"/>
    <w:rsid w:val="28011BEC"/>
    <w:rsid w:val="282D51CC"/>
    <w:rsid w:val="28372507"/>
    <w:rsid w:val="2841669A"/>
    <w:rsid w:val="28583306"/>
    <w:rsid w:val="286651CF"/>
    <w:rsid w:val="28671C46"/>
    <w:rsid w:val="286D1BDB"/>
    <w:rsid w:val="287326EC"/>
    <w:rsid w:val="2897657D"/>
    <w:rsid w:val="2899000A"/>
    <w:rsid w:val="28A028D3"/>
    <w:rsid w:val="28A066B3"/>
    <w:rsid w:val="28A56196"/>
    <w:rsid w:val="28AB19F4"/>
    <w:rsid w:val="28AC5D49"/>
    <w:rsid w:val="28CD1B01"/>
    <w:rsid w:val="28D71E0B"/>
    <w:rsid w:val="28DC39BE"/>
    <w:rsid w:val="28DC6898"/>
    <w:rsid w:val="28DD5BCB"/>
    <w:rsid w:val="28E01F8A"/>
    <w:rsid w:val="28EE46CA"/>
    <w:rsid w:val="28F045AC"/>
    <w:rsid w:val="28FB50B6"/>
    <w:rsid w:val="290A1D57"/>
    <w:rsid w:val="290B3B64"/>
    <w:rsid w:val="291064E1"/>
    <w:rsid w:val="29144474"/>
    <w:rsid w:val="2916007F"/>
    <w:rsid w:val="291D583E"/>
    <w:rsid w:val="292D117C"/>
    <w:rsid w:val="29446488"/>
    <w:rsid w:val="294B6B4C"/>
    <w:rsid w:val="294C12BF"/>
    <w:rsid w:val="295127EC"/>
    <w:rsid w:val="29602BC4"/>
    <w:rsid w:val="29610CF0"/>
    <w:rsid w:val="296576F6"/>
    <w:rsid w:val="296A4B2B"/>
    <w:rsid w:val="29713584"/>
    <w:rsid w:val="29870F2F"/>
    <w:rsid w:val="298F0A9C"/>
    <w:rsid w:val="299760C7"/>
    <w:rsid w:val="2999350D"/>
    <w:rsid w:val="299E7E78"/>
    <w:rsid w:val="29AE0DEF"/>
    <w:rsid w:val="29B30AFA"/>
    <w:rsid w:val="29B66771"/>
    <w:rsid w:val="29B759BC"/>
    <w:rsid w:val="29BB777B"/>
    <w:rsid w:val="29D60A95"/>
    <w:rsid w:val="29D94FA1"/>
    <w:rsid w:val="29E0703F"/>
    <w:rsid w:val="29E31604"/>
    <w:rsid w:val="29E87CCF"/>
    <w:rsid w:val="29F87E04"/>
    <w:rsid w:val="2A0A04AA"/>
    <w:rsid w:val="2A1A7BC7"/>
    <w:rsid w:val="2A1F23A7"/>
    <w:rsid w:val="2A2036AC"/>
    <w:rsid w:val="2A220C75"/>
    <w:rsid w:val="2A226BAF"/>
    <w:rsid w:val="2A27047E"/>
    <w:rsid w:val="2A2D73EC"/>
    <w:rsid w:val="2A2E4CEB"/>
    <w:rsid w:val="2A346ACA"/>
    <w:rsid w:val="2A357DCE"/>
    <w:rsid w:val="2A3B565F"/>
    <w:rsid w:val="2A4B2109"/>
    <w:rsid w:val="2A5C72C7"/>
    <w:rsid w:val="2A653259"/>
    <w:rsid w:val="2A6F194E"/>
    <w:rsid w:val="2A77779C"/>
    <w:rsid w:val="2A8F4841"/>
    <w:rsid w:val="2A916E63"/>
    <w:rsid w:val="2A97379F"/>
    <w:rsid w:val="2A9D7267"/>
    <w:rsid w:val="2AA07A18"/>
    <w:rsid w:val="2AA34B7F"/>
    <w:rsid w:val="2AA369DD"/>
    <w:rsid w:val="2AAF4F9A"/>
    <w:rsid w:val="2AB22C9A"/>
    <w:rsid w:val="2AB84B24"/>
    <w:rsid w:val="2AD06022"/>
    <w:rsid w:val="2AD63975"/>
    <w:rsid w:val="2ADB4987"/>
    <w:rsid w:val="2ADD1B0D"/>
    <w:rsid w:val="2ADF2DC8"/>
    <w:rsid w:val="2AE64773"/>
    <w:rsid w:val="2AE952F3"/>
    <w:rsid w:val="2AEC47FC"/>
    <w:rsid w:val="2AF1331E"/>
    <w:rsid w:val="2AF81BE3"/>
    <w:rsid w:val="2AF926C9"/>
    <w:rsid w:val="2AFA02A2"/>
    <w:rsid w:val="2AFF23A5"/>
    <w:rsid w:val="2B282245"/>
    <w:rsid w:val="2B361003"/>
    <w:rsid w:val="2B3762A6"/>
    <w:rsid w:val="2B3C6641"/>
    <w:rsid w:val="2B4B7916"/>
    <w:rsid w:val="2B5B0F6E"/>
    <w:rsid w:val="2B605B83"/>
    <w:rsid w:val="2B6530D1"/>
    <w:rsid w:val="2B792012"/>
    <w:rsid w:val="2B7F31FF"/>
    <w:rsid w:val="2B925FDF"/>
    <w:rsid w:val="2B9970F1"/>
    <w:rsid w:val="2BB65D1D"/>
    <w:rsid w:val="2BC27506"/>
    <w:rsid w:val="2BDF6B05"/>
    <w:rsid w:val="2BE501C7"/>
    <w:rsid w:val="2BED2E55"/>
    <w:rsid w:val="2C0122C3"/>
    <w:rsid w:val="2C03186B"/>
    <w:rsid w:val="2C1738CF"/>
    <w:rsid w:val="2C18031A"/>
    <w:rsid w:val="2C1945D8"/>
    <w:rsid w:val="2C2217C9"/>
    <w:rsid w:val="2C24507B"/>
    <w:rsid w:val="2C2801FE"/>
    <w:rsid w:val="2C614AA9"/>
    <w:rsid w:val="2C6169CC"/>
    <w:rsid w:val="2C6714F0"/>
    <w:rsid w:val="2C6C7918"/>
    <w:rsid w:val="2C7502FD"/>
    <w:rsid w:val="2C777084"/>
    <w:rsid w:val="2C783906"/>
    <w:rsid w:val="2C7C1BFB"/>
    <w:rsid w:val="2C832E96"/>
    <w:rsid w:val="2C8E3E84"/>
    <w:rsid w:val="2C942C30"/>
    <w:rsid w:val="2C9D3A40"/>
    <w:rsid w:val="2C9F1142"/>
    <w:rsid w:val="2CA57E78"/>
    <w:rsid w:val="2CA8507A"/>
    <w:rsid w:val="2CA952D4"/>
    <w:rsid w:val="2CB4614D"/>
    <w:rsid w:val="2CB5787B"/>
    <w:rsid w:val="2CBF13A5"/>
    <w:rsid w:val="2CCA4381"/>
    <w:rsid w:val="2CD30F03"/>
    <w:rsid w:val="2CD719D9"/>
    <w:rsid w:val="2CD74B1F"/>
    <w:rsid w:val="2CE618B6"/>
    <w:rsid w:val="2CF249BE"/>
    <w:rsid w:val="2CFC1554"/>
    <w:rsid w:val="2CFF3512"/>
    <w:rsid w:val="2D0B4074"/>
    <w:rsid w:val="2D0B7148"/>
    <w:rsid w:val="2D113E1B"/>
    <w:rsid w:val="2D17770B"/>
    <w:rsid w:val="2D1E469A"/>
    <w:rsid w:val="2D287789"/>
    <w:rsid w:val="2D354DCA"/>
    <w:rsid w:val="2D4360F1"/>
    <w:rsid w:val="2D4C4C78"/>
    <w:rsid w:val="2D507BFC"/>
    <w:rsid w:val="2D595579"/>
    <w:rsid w:val="2D6E6943"/>
    <w:rsid w:val="2D7C22D8"/>
    <w:rsid w:val="2D7D1686"/>
    <w:rsid w:val="2D7E4AF7"/>
    <w:rsid w:val="2D8519AC"/>
    <w:rsid w:val="2D87777E"/>
    <w:rsid w:val="2D8A7365"/>
    <w:rsid w:val="2D8D3550"/>
    <w:rsid w:val="2D8E349F"/>
    <w:rsid w:val="2D9469E6"/>
    <w:rsid w:val="2D9D7A77"/>
    <w:rsid w:val="2D9F156C"/>
    <w:rsid w:val="2DAF78FF"/>
    <w:rsid w:val="2DBF4E1C"/>
    <w:rsid w:val="2DC10320"/>
    <w:rsid w:val="2DD072B5"/>
    <w:rsid w:val="2DD2603B"/>
    <w:rsid w:val="2DD93F77"/>
    <w:rsid w:val="2DDC2E60"/>
    <w:rsid w:val="2DDE7A41"/>
    <w:rsid w:val="2DE23D77"/>
    <w:rsid w:val="2DEF20F0"/>
    <w:rsid w:val="2DF422E9"/>
    <w:rsid w:val="2DF67EAC"/>
    <w:rsid w:val="2DF930A9"/>
    <w:rsid w:val="2E005886"/>
    <w:rsid w:val="2E00793A"/>
    <w:rsid w:val="2E035A56"/>
    <w:rsid w:val="2E041306"/>
    <w:rsid w:val="2E0745C9"/>
    <w:rsid w:val="2E106E4C"/>
    <w:rsid w:val="2E1F28B7"/>
    <w:rsid w:val="2E2A44CC"/>
    <w:rsid w:val="2E422716"/>
    <w:rsid w:val="2E452AF7"/>
    <w:rsid w:val="2E4A3C4E"/>
    <w:rsid w:val="2E4C211D"/>
    <w:rsid w:val="2E4D7F49"/>
    <w:rsid w:val="2E4E05E7"/>
    <w:rsid w:val="2E4E1129"/>
    <w:rsid w:val="2E5B5EA2"/>
    <w:rsid w:val="2E6446EB"/>
    <w:rsid w:val="2E6E5EBA"/>
    <w:rsid w:val="2E7F0E61"/>
    <w:rsid w:val="2E7F686F"/>
    <w:rsid w:val="2E814EDA"/>
    <w:rsid w:val="2E870765"/>
    <w:rsid w:val="2E8D0791"/>
    <w:rsid w:val="2E9A64A3"/>
    <w:rsid w:val="2E9B39A1"/>
    <w:rsid w:val="2EA51AE7"/>
    <w:rsid w:val="2EB61B31"/>
    <w:rsid w:val="2EBC045D"/>
    <w:rsid w:val="2ED1015D"/>
    <w:rsid w:val="2EDE19F1"/>
    <w:rsid w:val="2EF12C10"/>
    <w:rsid w:val="2EF46E83"/>
    <w:rsid w:val="2EF57EDD"/>
    <w:rsid w:val="2F047EE8"/>
    <w:rsid w:val="2F085C75"/>
    <w:rsid w:val="2F0A5D38"/>
    <w:rsid w:val="2F0C5A7B"/>
    <w:rsid w:val="2F0E473E"/>
    <w:rsid w:val="2F0F21C0"/>
    <w:rsid w:val="2F116436"/>
    <w:rsid w:val="2F1A1856"/>
    <w:rsid w:val="2F1C0554"/>
    <w:rsid w:val="2F2451F0"/>
    <w:rsid w:val="2F2B12A9"/>
    <w:rsid w:val="2F3440DE"/>
    <w:rsid w:val="2F3A4309"/>
    <w:rsid w:val="2F3D528D"/>
    <w:rsid w:val="2F4D5528"/>
    <w:rsid w:val="2F626907"/>
    <w:rsid w:val="2F633507"/>
    <w:rsid w:val="2F673ED3"/>
    <w:rsid w:val="2F8D6982"/>
    <w:rsid w:val="2F956224"/>
    <w:rsid w:val="2F970E99"/>
    <w:rsid w:val="2FA00F7A"/>
    <w:rsid w:val="2FA23A7C"/>
    <w:rsid w:val="2FA30525"/>
    <w:rsid w:val="2FA32B33"/>
    <w:rsid w:val="2FB449B9"/>
    <w:rsid w:val="2FC254E7"/>
    <w:rsid w:val="2FC73BC7"/>
    <w:rsid w:val="2FCC3878"/>
    <w:rsid w:val="2FD33F66"/>
    <w:rsid w:val="2FD408E0"/>
    <w:rsid w:val="2FD46948"/>
    <w:rsid w:val="2FDB4A4D"/>
    <w:rsid w:val="2FE311E4"/>
    <w:rsid w:val="2FF05140"/>
    <w:rsid w:val="2FF608DC"/>
    <w:rsid w:val="2FFA0EC4"/>
    <w:rsid w:val="2FFD3FAC"/>
    <w:rsid w:val="30032CF9"/>
    <w:rsid w:val="3004586C"/>
    <w:rsid w:val="30075FDB"/>
    <w:rsid w:val="30103067"/>
    <w:rsid w:val="301574EF"/>
    <w:rsid w:val="30160ACC"/>
    <w:rsid w:val="30203302"/>
    <w:rsid w:val="3045081F"/>
    <w:rsid w:val="305262F9"/>
    <w:rsid w:val="305A1538"/>
    <w:rsid w:val="305F666A"/>
    <w:rsid w:val="306825DD"/>
    <w:rsid w:val="306D3401"/>
    <w:rsid w:val="30762D20"/>
    <w:rsid w:val="30834BF9"/>
    <w:rsid w:val="308D5EB4"/>
    <w:rsid w:val="30944718"/>
    <w:rsid w:val="3094583F"/>
    <w:rsid w:val="30A75B25"/>
    <w:rsid w:val="30AE7865"/>
    <w:rsid w:val="30B95EAB"/>
    <w:rsid w:val="30BD0622"/>
    <w:rsid w:val="30C01078"/>
    <w:rsid w:val="30CF0FD9"/>
    <w:rsid w:val="30D23125"/>
    <w:rsid w:val="30F34FAE"/>
    <w:rsid w:val="310160EC"/>
    <w:rsid w:val="31113F0F"/>
    <w:rsid w:val="312564F4"/>
    <w:rsid w:val="31325585"/>
    <w:rsid w:val="3133127A"/>
    <w:rsid w:val="31353CD7"/>
    <w:rsid w:val="313E4128"/>
    <w:rsid w:val="313E620E"/>
    <w:rsid w:val="313E6CDE"/>
    <w:rsid w:val="31543819"/>
    <w:rsid w:val="315D0B0B"/>
    <w:rsid w:val="31603336"/>
    <w:rsid w:val="31727F68"/>
    <w:rsid w:val="317662E9"/>
    <w:rsid w:val="317B280F"/>
    <w:rsid w:val="31954796"/>
    <w:rsid w:val="31962DAE"/>
    <w:rsid w:val="31970AB8"/>
    <w:rsid w:val="319F0073"/>
    <w:rsid w:val="31A002FB"/>
    <w:rsid w:val="31A93189"/>
    <w:rsid w:val="31B56BB4"/>
    <w:rsid w:val="31B9498A"/>
    <w:rsid w:val="31CD6F8B"/>
    <w:rsid w:val="31D077C5"/>
    <w:rsid w:val="31D94C95"/>
    <w:rsid w:val="31E352CA"/>
    <w:rsid w:val="31E50329"/>
    <w:rsid w:val="31ED7FC2"/>
    <w:rsid w:val="32044DED"/>
    <w:rsid w:val="320C562E"/>
    <w:rsid w:val="32106030"/>
    <w:rsid w:val="32142838"/>
    <w:rsid w:val="322E55E0"/>
    <w:rsid w:val="323A4C76"/>
    <w:rsid w:val="323E476F"/>
    <w:rsid w:val="32462A55"/>
    <w:rsid w:val="324B22D2"/>
    <w:rsid w:val="32575E9A"/>
    <w:rsid w:val="325C3AF5"/>
    <w:rsid w:val="326225B7"/>
    <w:rsid w:val="32660FBD"/>
    <w:rsid w:val="32797FDE"/>
    <w:rsid w:val="327A0FE8"/>
    <w:rsid w:val="328911F2"/>
    <w:rsid w:val="329108DF"/>
    <w:rsid w:val="32931C47"/>
    <w:rsid w:val="329F684F"/>
    <w:rsid w:val="32A83910"/>
    <w:rsid w:val="32B26B6D"/>
    <w:rsid w:val="32BD1FFE"/>
    <w:rsid w:val="32C30926"/>
    <w:rsid w:val="32C92CF9"/>
    <w:rsid w:val="32CE05D8"/>
    <w:rsid w:val="32D16607"/>
    <w:rsid w:val="32D44E75"/>
    <w:rsid w:val="32F96ACA"/>
    <w:rsid w:val="330258B3"/>
    <w:rsid w:val="330428CD"/>
    <w:rsid w:val="33051DC0"/>
    <w:rsid w:val="33054642"/>
    <w:rsid w:val="33055644"/>
    <w:rsid w:val="33106E3B"/>
    <w:rsid w:val="33133414"/>
    <w:rsid w:val="332500F7"/>
    <w:rsid w:val="332B5883"/>
    <w:rsid w:val="332C2B52"/>
    <w:rsid w:val="333D647B"/>
    <w:rsid w:val="333E4968"/>
    <w:rsid w:val="33597207"/>
    <w:rsid w:val="337E28B4"/>
    <w:rsid w:val="338F27B5"/>
    <w:rsid w:val="33951969"/>
    <w:rsid w:val="339B5E01"/>
    <w:rsid w:val="33A02F90"/>
    <w:rsid w:val="33A31D7A"/>
    <w:rsid w:val="33AB1655"/>
    <w:rsid w:val="33B75467"/>
    <w:rsid w:val="33BD3297"/>
    <w:rsid w:val="33C42CBE"/>
    <w:rsid w:val="33C521FE"/>
    <w:rsid w:val="33D163EF"/>
    <w:rsid w:val="33D45DFD"/>
    <w:rsid w:val="33D52499"/>
    <w:rsid w:val="33D622B7"/>
    <w:rsid w:val="33DA6921"/>
    <w:rsid w:val="33E11727"/>
    <w:rsid w:val="33E605A3"/>
    <w:rsid w:val="33E706E6"/>
    <w:rsid w:val="33E846A6"/>
    <w:rsid w:val="33F14703"/>
    <w:rsid w:val="33F7797D"/>
    <w:rsid w:val="33FE4867"/>
    <w:rsid w:val="3406027F"/>
    <w:rsid w:val="3408616B"/>
    <w:rsid w:val="340C0F9D"/>
    <w:rsid w:val="3411487C"/>
    <w:rsid w:val="341C5F55"/>
    <w:rsid w:val="341E0B6A"/>
    <w:rsid w:val="34243449"/>
    <w:rsid w:val="342F05A9"/>
    <w:rsid w:val="34332832"/>
    <w:rsid w:val="343524B2"/>
    <w:rsid w:val="3442504B"/>
    <w:rsid w:val="34464ACC"/>
    <w:rsid w:val="344811B9"/>
    <w:rsid w:val="34497B40"/>
    <w:rsid w:val="344B4545"/>
    <w:rsid w:val="34504361"/>
    <w:rsid w:val="345B2367"/>
    <w:rsid w:val="345B5F75"/>
    <w:rsid w:val="345C6505"/>
    <w:rsid w:val="346638E0"/>
    <w:rsid w:val="34812D29"/>
    <w:rsid w:val="348B5095"/>
    <w:rsid w:val="349C31F7"/>
    <w:rsid w:val="349E1E18"/>
    <w:rsid w:val="34A54544"/>
    <w:rsid w:val="34A5796A"/>
    <w:rsid w:val="34AA6190"/>
    <w:rsid w:val="34AE0539"/>
    <w:rsid w:val="34B16BF3"/>
    <w:rsid w:val="34BD4F1E"/>
    <w:rsid w:val="34BF7E98"/>
    <w:rsid w:val="34C65624"/>
    <w:rsid w:val="34CD5068"/>
    <w:rsid w:val="34CE2B5B"/>
    <w:rsid w:val="34E711CA"/>
    <w:rsid w:val="34E944F6"/>
    <w:rsid w:val="34E94AA0"/>
    <w:rsid w:val="34ED017A"/>
    <w:rsid w:val="34F67643"/>
    <w:rsid w:val="34FF53FE"/>
    <w:rsid w:val="35072EAD"/>
    <w:rsid w:val="350960B1"/>
    <w:rsid w:val="350D7F97"/>
    <w:rsid w:val="35150114"/>
    <w:rsid w:val="351C27B0"/>
    <w:rsid w:val="351E7054"/>
    <w:rsid w:val="35217336"/>
    <w:rsid w:val="35290A77"/>
    <w:rsid w:val="352A0B4B"/>
    <w:rsid w:val="35356F10"/>
    <w:rsid w:val="35371B3F"/>
    <w:rsid w:val="353C1008"/>
    <w:rsid w:val="354840CB"/>
    <w:rsid w:val="354E0C27"/>
    <w:rsid w:val="35520D37"/>
    <w:rsid w:val="35524018"/>
    <w:rsid w:val="35577112"/>
    <w:rsid w:val="35592615"/>
    <w:rsid w:val="355C013C"/>
    <w:rsid w:val="35611C20"/>
    <w:rsid w:val="3565420B"/>
    <w:rsid w:val="35673B29"/>
    <w:rsid w:val="356A601B"/>
    <w:rsid w:val="356F0F35"/>
    <w:rsid w:val="3570454A"/>
    <w:rsid w:val="3572634E"/>
    <w:rsid w:val="3583595D"/>
    <w:rsid w:val="35841013"/>
    <w:rsid w:val="358B79C9"/>
    <w:rsid w:val="358C5CCB"/>
    <w:rsid w:val="359A00B9"/>
    <w:rsid w:val="35A23D0E"/>
    <w:rsid w:val="35AE7B20"/>
    <w:rsid w:val="35C23876"/>
    <w:rsid w:val="35C73445"/>
    <w:rsid w:val="35D514D4"/>
    <w:rsid w:val="35DB18E9"/>
    <w:rsid w:val="35EE2B08"/>
    <w:rsid w:val="35F853BB"/>
    <w:rsid w:val="35FB1676"/>
    <w:rsid w:val="36033620"/>
    <w:rsid w:val="36133D69"/>
    <w:rsid w:val="361526DE"/>
    <w:rsid w:val="36225127"/>
    <w:rsid w:val="36237E20"/>
    <w:rsid w:val="36286678"/>
    <w:rsid w:val="363803C7"/>
    <w:rsid w:val="363A3122"/>
    <w:rsid w:val="364542F2"/>
    <w:rsid w:val="3646059A"/>
    <w:rsid w:val="365607BB"/>
    <w:rsid w:val="367620D2"/>
    <w:rsid w:val="3689139F"/>
    <w:rsid w:val="369608CE"/>
    <w:rsid w:val="369B0A76"/>
    <w:rsid w:val="369B2954"/>
    <w:rsid w:val="36B260C9"/>
    <w:rsid w:val="36C1037B"/>
    <w:rsid w:val="36C82372"/>
    <w:rsid w:val="36D067A6"/>
    <w:rsid w:val="36D1561B"/>
    <w:rsid w:val="36DF16B9"/>
    <w:rsid w:val="36E24B9E"/>
    <w:rsid w:val="36ED1BD9"/>
    <w:rsid w:val="36EF0F55"/>
    <w:rsid w:val="36FA0A93"/>
    <w:rsid w:val="37070D11"/>
    <w:rsid w:val="370C03C2"/>
    <w:rsid w:val="37156C65"/>
    <w:rsid w:val="37201F64"/>
    <w:rsid w:val="3732571E"/>
    <w:rsid w:val="373F53DD"/>
    <w:rsid w:val="375223CF"/>
    <w:rsid w:val="375842D9"/>
    <w:rsid w:val="375948AC"/>
    <w:rsid w:val="375B6281"/>
    <w:rsid w:val="375D3A9B"/>
    <w:rsid w:val="376016E5"/>
    <w:rsid w:val="37684573"/>
    <w:rsid w:val="376B28D6"/>
    <w:rsid w:val="376C0D7B"/>
    <w:rsid w:val="376C5D00"/>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920C3"/>
    <w:rsid w:val="37CA21FC"/>
    <w:rsid w:val="37CA6221"/>
    <w:rsid w:val="37CE234B"/>
    <w:rsid w:val="37DF54A6"/>
    <w:rsid w:val="37E00D3A"/>
    <w:rsid w:val="37EA0A17"/>
    <w:rsid w:val="37F510CB"/>
    <w:rsid w:val="380A7603"/>
    <w:rsid w:val="380B0BB2"/>
    <w:rsid w:val="380D32F1"/>
    <w:rsid w:val="380D5D0D"/>
    <w:rsid w:val="3825549B"/>
    <w:rsid w:val="382F2C1E"/>
    <w:rsid w:val="383B271A"/>
    <w:rsid w:val="384D78BB"/>
    <w:rsid w:val="385B37D6"/>
    <w:rsid w:val="38716CD9"/>
    <w:rsid w:val="387A56B5"/>
    <w:rsid w:val="38801C6C"/>
    <w:rsid w:val="388075BE"/>
    <w:rsid w:val="38851608"/>
    <w:rsid w:val="38A442FB"/>
    <w:rsid w:val="38A45712"/>
    <w:rsid w:val="38A47DD9"/>
    <w:rsid w:val="38A659F1"/>
    <w:rsid w:val="38A71165"/>
    <w:rsid w:val="38AB1AE5"/>
    <w:rsid w:val="38B04451"/>
    <w:rsid w:val="38C9778C"/>
    <w:rsid w:val="38CC35B4"/>
    <w:rsid w:val="38D10166"/>
    <w:rsid w:val="38FB278B"/>
    <w:rsid w:val="38FD240B"/>
    <w:rsid w:val="39005416"/>
    <w:rsid w:val="390D04A7"/>
    <w:rsid w:val="39115DDF"/>
    <w:rsid w:val="391D402E"/>
    <w:rsid w:val="39207FD2"/>
    <w:rsid w:val="39235FC1"/>
    <w:rsid w:val="392A38E3"/>
    <w:rsid w:val="3933207C"/>
    <w:rsid w:val="39395514"/>
    <w:rsid w:val="394B37F2"/>
    <w:rsid w:val="39532C2F"/>
    <w:rsid w:val="39985F30"/>
    <w:rsid w:val="39A52F17"/>
    <w:rsid w:val="39B16A37"/>
    <w:rsid w:val="39B244B8"/>
    <w:rsid w:val="39D3500A"/>
    <w:rsid w:val="39D96419"/>
    <w:rsid w:val="39E55169"/>
    <w:rsid w:val="39E84553"/>
    <w:rsid w:val="39E861B5"/>
    <w:rsid w:val="39EA4612"/>
    <w:rsid w:val="39F17820"/>
    <w:rsid w:val="39F4018B"/>
    <w:rsid w:val="39F72E22"/>
    <w:rsid w:val="3A094E52"/>
    <w:rsid w:val="3A094EC7"/>
    <w:rsid w:val="3A174971"/>
    <w:rsid w:val="3A233308"/>
    <w:rsid w:val="3A273045"/>
    <w:rsid w:val="3A3E4729"/>
    <w:rsid w:val="3A476F2A"/>
    <w:rsid w:val="3A4C0E33"/>
    <w:rsid w:val="3A4C35D0"/>
    <w:rsid w:val="3A654202"/>
    <w:rsid w:val="3A675D63"/>
    <w:rsid w:val="3A684EE0"/>
    <w:rsid w:val="3A6A03E3"/>
    <w:rsid w:val="3A6A6623"/>
    <w:rsid w:val="3A727012"/>
    <w:rsid w:val="3A96252C"/>
    <w:rsid w:val="3A987DF1"/>
    <w:rsid w:val="3A9F7948"/>
    <w:rsid w:val="3AA02CE4"/>
    <w:rsid w:val="3AA628ED"/>
    <w:rsid w:val="3AA90847"/>
    <w:rsid w:val="3AAC6356"/>
    <w:rsid w:val="3AB23C38"/>
    <w:rsid w:val="3ABA4B72"/>
    <w:rsid w:val="3AC708A8"/>
    <w:rsid w:val="3AC76FD5"/>
    <w:rsid w:val="3ACE1617"/>
    <w:rsid w:val="3AD31906"/>
    <w:rsid w:val="3AD76819"/>
    <w:rsid w:val="3AD969F8"/>
    <w:rsid w:val="3AE45251"/>
    <w:rsid w:val="3AF40348"/>
    <w:rsid w:val="3AFD1BC4"/>
    <w:rsid w:val="3B09606F"/>
    <w:rsid w:val="3B0A24EB"/>
    <w:rsid w:val="3B0D47D3"/>
    <w:rsid w:val="3B3368FE"/>
    <w:rsid w:val="3B3B2CBA"/>
    <w:rsid w:val="3B4C622A"/>
    <w:rsid w:val="3B5E1F75"/>
    <w:rsid w:val="3B6161E6"/>
    <w:rsid w:val="3B617677"/>
    <w:rsid w:val="3B6A7A40"/>
    <w:rsid w:val="3B720C16"/>
    <w:rsid w:val="3B7F36AC"/>
    <w:rsid w:val="3B822235"/>
    <w:rsid w:val="3B830155"/>
    <w:rsid w:val="3B861D2E"/>
    <w:rsid w:val="3B8E0546"/>
    <w:rsid w:val="3BA77DEB"/>
    <w:rsid w:val="3BBA100A"/>
    <w:rsid w:val="3BC16EB8"/>
    <w:rsid w:val="3BC25680"/>
    <w:rsid w:val="3BCA54DA"/>
    <w:rsid w:val="3BD34132"/>
    <w:rsid w:val="3BD653F5"/>
    <w:rsid w:val="3BDB3703"/>
    <w:rsid w:val="3BE16ECF"/>
    <w:rsid w:val="3BE4213F"/>
    <w:rsid w:val="3BFF6F27"/>
    <w:rsid w:val="3C095928"/>
    <w:rsid w:val="3C211965"/>
    <w:rsid w:val="3C286614"/>
    <w:rsid w:val="3C3209A4"/>
    <w:rsid w:val="3C321F4D"/>
    <w:rsid w:val="3C365282"/>
    <w:rsid w:val="3C402634"/>
    <w:rsid w:val="3C493B58"/>
    <w:rsid w:val="3C4B0ED5"/>
    <w:rsid w:val="3C551FF9"/>
    <w:rsid w:val="3C5637BE"/>
    <w:rsid w:val="3C5F1DD5"/>
    <w:rsid w:val="3C88295C"/>
    <w:rsid w:val="3C8A3C61"/>
    <w:rsid w:val="3C8F5B6A"/>
    <w:rsid w:val="3CA91418"/>
    <w:rsid w:val="3CAA3645"/>
    <w:rsid w:val="3CB064E9"/>
    <w:rsid w:val="3CB37024"/>
    <w:rsid w:val="3CBC1B56"/>
    <w:rsid w:val="3CBD75BF"/>
    <w:rsid w:val="3CC33BCC"/>
    <w:rsid w:val="3CCD3451"/>
    <w:rsid w:val="3CD15DA5"/>
    <w:rsid w:val="3CD641A1"/>
    <w:rsid w:val="3CD71CB8"/>
    <w:rsid w:val="3CD97DC0"/>
    <w:rsid w:val="3CE2490A"/>
    <w:rsid w:val="3CE43661"/>
    <w:rsid w:val="3CEA648A"/>
    <w:rsid w:val="3CF03605"/>
    <w:rsid w:val="3CF036C8"/>
    <w:rsid w:val="3CFB2C9B"/>
    <w:rsid w:val="3CFB7418"/>
    <w:rsid w:val="3D0772FE"/>
    <w:rsid w:val="3D0808A8"/>
    <w:rsid w:val="3D0E3159"/>
    <w:rsid w:val="3D146985"/>
    <w:rsid w:val="3D1502D9"/>
    <w:rsid w:val="3D353912"/>
    <w:rsid w:val="3D46422A"/>
    <w:rsid w:val="3D555673"/>
    <w:rsid w:val="3D5657CC"/>
    <w:rsid w:val="3D5D2E26"/>
    <w:rsid w:val="3D5E6D3C"/>
    <w:rsid w:val="3D6200C1"/>
    <w:rsid w:val="3D666AC7"/>
    <w:rsid w:val="3D6C09D0"/>
    <w:rsid w:val="3D71233A"/>
    <w:rsid w:val="3D795AE8"/>
    <w:rsid w:val="3D856675"/>
    <w:rsid w:val="3D876DDA"/>
    <w:rsid w:val="3D895D82"/>
    <w:rsid w:val="3D8A08BF"/>
    <w:rsid w:val="3D8E5ECA"/>
    <w:rsid w:val="3D8F3247"/>
    <w:rsid w:val="3D902DB0"/>
    <w:rsid w:val="3D9C2824"/>
    <w:rsid w:val="3DA24B18"/>
    <w:rsid w:val="3DA43C69"/>
    <w:rsid w:val="3DA93D8D"/>
    <w:rsid w:val="3DAA3D38"/>
    <w:rsid w:val="3DAE0540"/>
    <w:rsid w:val="3DAE642A"/>
    <w:rsid w:val="3DB21166"/>
    <w:rsid w:val="3DB52FFB"/>
    <w:rsid w:val="3DB932B8"/>
    <w:rsid w:val="3DBA2148"/>
    <w:rsid w:val="3DBA37DD"/>
    <w:rsid w:val="3DCD6A49"/>
    <w:rsid w:val="3DDF3C84"/>
    <w:rsid w:val="3DE1484B"/>
    <w:rsid w:val="3DF204F5"/>
    <w:rsid w:val="3DF55B8D"/>
    <w:rsid w:val="3DF740D2"/>
    <w:rsid w:val="3DFB283E"/>
    <w:rsid w:val="3DFC1B15"/>
    <w:rsid w:val="3E091B54"/>
    <w:rsid w:val="3E117FD9"/>
    <w:rsid w:val="3E1B0B74"/>
    <w:rsid w:val="3E2942BE"/>
    <w:rsid w:val="3E29452D"/>
    <w:rsid w:val="3E2C300D"/>
    <w:rsid w:val="3E2E356B"/>
    <w:rsid w:val="3E300439"/>
    <w:rsid w:val="3E320B89"/>
    <w:rsid w:val="3E3906BC"/>
    <w:rsid w:val="3E4B38C2"/>
    <w:rsid w:val="3E5111EB"/>
    <w:rsid w:val="3E5648B2"/>
    <w:rsid w:val="3E593782"/>
    <w:rsid w:val="3E684241"/>
    <w:rsid w:val="3E75521D"/>
    <w:rsid w:val="3E7F7BA2"/>
    <w:rsid w:val="3E814901"/>
    <w:rsid w:val="3E83245B"/>
    <w:rsid w:val="3E8412E9"/>
    <w:rsid w:val="3E8F10CC"/>
    <w:rsid w:val="3E9328AF"/>
    <w:rsid w:val="3E9571B9"/>
    <w:rsid w:val="3E9D7E49"/>
    <w:rsid w:val="3E9F1CBA"/>
    <w:rsid w:val="3EAB715E"/>
    <w:rsid w:val="3EB1094A"/>
    <w:rsid w:val="3EB6490C"/>
    <w:rsid w:val="3EBC27E6"/>
    <w:rsid w:val="3EC57D08"/>
    <w:rsid w:val="3EDA559F"/>
    <w:rsid w:val="3EDC10D0"/>
    <w:rsid w:val="3EE10368"/>
    <w:rsid w:val="3EE62176"/>
    <w:rsid w:val="3EE760FD"/>
    <w:rsid w:val="3EEB5E34"/>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C6800"/>
    <w:rsid w:val="3F9E0865"/>
    <w:rsid w:val="3FA5009E"/>
    <w:rsid w:val="3FA57F1F"/>
    <w:rsid w:val="3FA770C3"/>
    <w:rsid w:val="3FA91ABC"/>
    <w:rsid w:val="3FB86017"/>
    <w:rsid w:val="3FBF796B"/>
    <w:rsid w:val="3FCC2AB9"/>
    <w:rsid w:val="3FD50D82"/>
    <w:rsid w:val="3FDB1475"/>
    <w:rsid w:val="3FDE5AD9"/>
    <w:rsid w:val="3FE56AF2"/>
    <w:rsid w:val="3FE710E5"/>
    <w:rsid w:val="3FF15942"/>
    <w:rsid w:val="3FFD0B4F"/>
    <w:rsid w:val="400739DE"/>
    <w:rsid w:val="400C5AA1"/>
    <w:rsid w:val="401818B4"/>
    <w:rsid w:val="401C7BD5"/>
    <w:rsid w:val="402417C8"/>
    <w:rsid w:val="40372073"/>
    <w:rsid w:val="403E6346"/>
    <w:rsid w:val="4044560B"/>
    <w:rsid w:val="40475A52"/>
    <w:rsid w:val="404F52A8"/>
    <w:rsid w:val="405A3622"/>
    <w:rsid w:val="407612BC"/>
    <w:rsid w:val="408753EB"/>
    <w:rsid w:val="40B6211F"/>
    <w:rsid w:val="40BE7685"/>
    <w:rsid w:val="40C2573C"/>
    <w:rsid w:val="40CA7DEF"/>
    <w:rsid w:val="40D34024"/>
    <w:rsid w:val="40D43BA0"/>
    <w:rsid w:val="40DC106D"/>
    <w:rsid w:val="40E11862"/>
    <w:rsid w:val="40E241CE"/>
    <w:rsid w:val="40EA78D7"/>
    <w:rsid w:val="40F24054"/>
    <w:rsid w:val="40F90C23"/>
    <w:rsid w:val="412912D7"/>
    <w:rsid w:val="413262C6"/>
    <w:rsid w:val="41366B89"/>
    <w:rsid w:val="41424C8E"/>
    <w:rsid w:val="415A3828"/>
    <w:rsid w:val="41643D6B"/>
    <w:rsid w:val="41771599"/>
    <w:rsid w:val="41A04E11"/>
    <w:rsid w:val="41B119D5"/>
    <w:rsid w:val="41B85F14"/>
    <w:rsid w:val="41BF7182"/>
    <w:rsid w:val="41C250B1"/>
    <w:rsid w:val="41CC3DB5"/>
    <w:rsid w:val="41D33655"/>
    <w:rsid w:val="41D70F57"/>
    <w:rsid w:val="41DB0F0D"/>
    <w:rsid w:val="41F01FFD"/>
    <w:rsid w:val="41FF7556"/>
    <w:rsid w:val="420558C2"/>
    <w:rsid w:val="42057B28"/>
    <w:rsid w:val="421052B2"/>
    <w:rsid w:val="42190CC2"/>
    <w:rsid w:val="421E02C7"/>
    <w:rsid w:val="42256110"/>
    <w:rsid w:val="422C131F"/>
    <w:rsid w:val="422F36E3"/>
    <w:rsid w:val="42382BB3"/>
    <w:rsid w:val="42391B89"/>
    <w:rsid w:val="42407C97"/>
    <w:rsid w:val="42433C14"/>
    <w:rsid w:val="42491125"/>
    <w:rsid w:val="425F740A"/>
    <w:rsid w:val="426E0618"/>
    <w:rsid w:val="427A44C2"/>
    <w:rsid w:val="428377AF"/>
    <w:rsid w:val="42880654"/>
    <w:rsid w:val="428D14EF"/>
    <w:rsid w:val="428F724E"/>
    <w:rsid w:val="4296187E"/>
    <w:rsid w:val="429E0EC5"/>
    <w:rsid w:val="42A16D5F"/>
    <w:rsid w:val="42A65AF0"/>
    <w:rsid w:val="42AD56C6"/>
    <w:rsid w:val="42B14A56"/>
    <w:rsid w:val="42C22B17"/>
    <w:rsid w:val="42DF5839"/>
    <w:rsid w:val="42E874D3"/>
    <w:rsid w:val="42F300EE"/>
    <w:rsid w:val="42FA181F"/>
    <w:rsid w:val="42FF71DC"/>
    <w:rsid w:val="42FF7548"/>
    <w:rsid w:val="431B0637"/>
    <w:rsid w:val="431F0701"/>
    <w:rsid w:val="43220206"/>
    <w:rsid w:val="432B1FC3"/>
    <w:rsid w:val="432D2E94"/>
    <w:rsid w:val="43367252"/>
    <w:rsid w:val="4339625B"/>
    <w:rsid w:val="433B14DC"/>
    <w:rsid w:val="43423544"/>
    <w:rsid w:val="43453FEA"/>
    <w:rsid w:val="434D155D"/>
    <w:rsid w:val="43553B58"/>
    <w:rsid w:val="435E53D9"/>
    <w:rsid w:val="436454E1"/>
    <w:rsid w:val="437A0D2C"/>
    <w:rsid w:val="437D52A7"/>
    <w:rsid w:val="438607EE"/>
    <w:rsid w:val="438815DB"/>
    <w:rsid w:val="43911F91"/>
    <w:rsid w:val="4394491A"/>
    <w:rsid w:val="43984FD6"/>
    <w:rsid w:val="43997A97"/>
    <w:rsid w:val="439C4B3A"/>
    <w:rsid w:val="43A2197F"/>
    <w:rsid w:val="43A60B8B"/>
    <w:rsid w:val="43AE0196"/>
    <w:rsid w:val="43B20F35"/>
    <w:rsid w:val="43BA39F7"/>
    <w:rsid w:val="43BD5DE5"/>
    <w:rsid w:val="43C0796C"/>
    <w:rsid w:val="43C42299"/>
    <w:rsid w:val="43CF3F4E"/>
    <w:rsid w:val="43D65E39"/>
    <w:rsid w:val="43D6606E"/>
    <w:rsid w:val="43D705EA"/>
    <w:rsid w:val="43E176EB"/>
    <w:rsid w:val="43E715F4"/>
    <w:rsid w:val="43FE3B45"/>
    <w:rsid w:val="440E72B6"/>
    <w:rsid w:val="441111D7"/>
    <w:rsid w:val="441255BD"/>
    <w:rsid w:val="441303B5"/>
    <w:rsid w:val="44185647"/>
    <w:rsid w:val="441B2D48"/>
    <w:rsid w:val="441B7C86"/>
    <w:rsid w:val="441D0D39"/>
    <w:rsid w:val="4426495C"/>
    <w:rsid w:val="444C64B0"/>
    <w:rsid w:val="444D54BA"/>
    <w:rsid w:val="445D3406"/>
    <w:rsid w:val="445E0FDC"/>
    <w:rsid w:val="44705CD5"/>
    <w:rsid w:val="44742FDB"/>
    <w:rsid w:val="44775660"/>
    <w:rsid w:val="44861641"/>
    <w:rsid w:val="4496054C"/>
    <w:rsid w:val="449D218D"/>
    <w:rsid w:val="449D508C"/>
    <w:rsid w:val="44A240DC"/>
    <w:rsid w:val="44AC00B9"/>
    <w:rsid w:val="44B15AF7"/>
    <w:rsid w:val="44B36E39"/>
    <w:rsid w:val="44DF3D8B"/>
    <w:rsid w:val="44EA5165"/>
    <w:rsid w:val="44EC7013"/>
    <w:rsid w:val="44F02519"/>
    <w:rsid w:val="44F85B4A"/>
    <w:rsid w:val="44FB3AE3"/>
    <w:rsid w:val="44FF3C64"/>
    <w:rsid w:val="45037B20"/>
    <w:rsid w:val="45061393"/>
    <w:rsid w:val="450A44F7"/>
    <w:rsid w:val="45167B36"/>
    <w:rsid w:val="45353B4F"/>
    <w:rsid w:val="453B7947"/>
    <w:rsid w:val="453C63BD"/>
    <w:rsid w:val="45427AA4"/>
    <w:rsid w:val="45515DC5"/>
    <w:rsid w:val="455454A2"/>
    <w:rsid w:val="45564CA5"/>
    <w:rsid w:val="455B6233"/>
    <w:rsid w:val="456A6A48"/>
    <w:rsid w:val="456C211B"/>
    <w:rsid w:val="45751837"/>
    <w:rsid w:val="45780A86"/>
    <w:rsid w:val="457C3D14"/>
    <w:rsid w:val="45865E2C"/>
    <w:rsid w:val="45911A43"/>
    <w:rsid w:val="45A16423"/>
    <w:rsid w:val="45A24E61"/>
    <w:rsid w:val="45A2580C"/>
    <w:rsid w:val="45AD2F61"/>
    <w:rsid w:val="45AE0358"/>
    <w:rsid w:val="45B457B5"/>
    <w:rsid w:val="45B70D57"/>
    <w:rsid w:val="45BD36E4"/>
    <w:rsid w:val="45C717E3"/>
    <w:rsid w:val="45DE2657"/>
    <w:rsid w:val="45EB2FC3"/>
    <w:rsid w:val="45F10EC5"/>
    <w:rsid w:val="45F16E50"/>
    <w:rsid w:val="460F4303"/>
    <w:rsid w:val="461B7E6D"/>
    <w:rsid w:val="462D20CB"/>
    <w:rsid w:val="462E7E70"/>
    <w:rsid w:val="463144E8"/>
    <w:rsid w:val="46375641"/>
    <w:rsid w:val="464442C4"/>
    <w:rsid w:val="464B6860"/>
    <w:rsid w:val="464D55E6"/>
    <w:rsid w:val="464E687C"/>
    <w:rsid w:val="46564D57"/>
    <w:rsid w:val="465950E5"/>
    <w:rsid w:val="465E7A7F"/>
    <w:rsid w:val="46621D09"/>
    <w:rsid w:val="466317E7"/>
    <w:rsid w:val="4663778A"/>
    <w:rsid w:val="466E3CCD"/>
    <w:rsid w:val="4676381B"/>
    <w:rsid w:val="467744FD"/>
    <w:rsid w:val="468422FB"/>
    <w:rsid w:val="469F5468"/>
    <w:rsid w:val="46A61C18"/>
    <w:rsid w:val="46A746F1"/>
    <w:rsid w:val="46A9603F"/>
    <w:rsid w:val="46AF30F0"/>
    <w:rsid w:val="46B63991"/>
    <w:rsid w:val="46C661AA"/>
    <w:rsid w:val="46D046FE"/>
    <w:rsid w:val="46D503F7"/>
    <w:rsid w:val="46E12276"/>
    <w:rsid w:val="46F03580"/>
    <w:rsid w:val="46F337F6"/>
    <w:rsid w:val="46F51A7F"/>
    <w:rsid w:val="47030510"/>
    <w:rsid w:val="4706377B"/>
    <w:rsid w:val="47140188"/>
    <w:rsid w:val="47143D2B"/>
    <w:rsid w:val="4714637D"/>
    <w:rsid w:val="471A2100"/>
    <w:rsid w:val="471A25BE"/>
    <w:rsid w:val="471F3AAF"/>
    <w:rsid w:val="471F4E9D"/>
    <w:rsid w:val="472055BF"/>
    <w:rsid w:val="47280D0D"/>
    <w:rsid w:val="4745087C"/>
    <w:rsid w:val="47456240"/>
    <w:rsid w:val="47541F31"/>
    <w:rsid w:val="475F0C6A"/>
    <w:rsid w:val="476B7898"/>
    <w:rsid w:val="47700B34"/>
    <w:rsid w:val="47736CA5"/>
    <w:rsid w:val="477A6B40"/>
    <w:rsid w:val="47862D65"/>
    <w:rsid w:val="47A07192"/>
    <w:rsid w:val="47B32E9C"/>
    <w:rsid w:val="47CA145E"/>
    <w:rsid w:val="47D408E5"/>
    <w:rsid w:val="47E2384A"/>
    <w:rsid w:val="47F230D2"/>
    <w:rsid w:val="47FE72F3"/>
    <w:rsid w:val="48020130"/>
    <w:rsid w:val="48071839"/>
    <w:rsid w:val="480B19F6"/>
    <w:rsid w:val="481B604A"/>
    <w:rsid w:val="48212AE9"/>
    <w:rsid w:val="482728EE"/>
    <w:rsid w:val="484D3110"/>
    <w:rsid w:val="485C2B97"/>
    <w:rsid w:val="486C4CE7"/>
    <w:rsid w:val="48782345"/>
    <w:rsid w:val="489713C3"/>
    <w:rsid w:val="48A06010"/>
    <w:rsid w:val="48A262B1"/>
    <w:rsid w:val="48A61EC2"/>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4552C4"/>
    <w:rsid w:val="494A2558"/>
    <w:rsid w:val="49582843"/>
    <w:rsid w:val="496C5184"/>
    <w:rsid w:val="49733467"/>
    <w:rsid w:val="499340F1"/>
    <w:rsid w:val="499872CD"/>
    <w:rsid w:val="49997039"/>
    <w:rsid w:val="49A418F2"/>
    <w:rsid w:val="49B73A15"/>
    <w:rsid w:val="49B947C8"/>
    <w:rsid w:val="49C8100A"/>
    <w:rsid w:val="49DF1C3F"/>
    <w:rsid w:val="49E70C5B"/>
    <w:rsid w:val="49EC0159"/>
    <w:rsid w:val="49F81C14"/>
    <w:rsid w:val="49FF2037"/>
    <w:rsid w:val="4A041E7F"/>
    <w:rsid w:val="4A0A7F62"/>
    <w:rsid w:val="4A143C42"/>
    <w:rsid w:val="4A1D00AC"/>
    <w:rsid w:val="4A270A04"/>
    <w:rsid w:val="4A3E54DC"/>
    <w:rsid w:val="4A414188"/>
    <w:rsid w:val="4A47591B"/>
    <w:rsid w:val="4A4C4C82"/>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B6941"/>
    <w:rsid w:val="4ACE11C7"/>
    <w:rsid w:val="4ADB4E28"/>
    <w:rsid w:val="4AE922E8"/>
    <w:rsid w:val="4AF16114"/>
    <w:rsid w:val="4AF26882"/>
    <w:rsid w:val="4AF51588"/>
    <w:rsid w:val="4AF75899"/>
    <w:rsid w:val="4AFA71F1"/>
    <w:rsid w:val="4B170E1E"/>
    <w:rsid w:val="4B1A46C6"/>
    <w:rsid w:val="4B1F1A9E"/>
    <w:rsid w:val="4B2517BD"/>
    <w:rsid w:val="4B2C35A3"/>
    <w:rsid w:val="4B333D7A"/>
    <w:rsid w:val="4B3422A0"/>
    <w:rsid w:val="4B380A88"/>
    <w:rsid w:val="4B3D3D17"/>
    <w:rsid w:val="4B4D3A8C"/>
    <w:rsid w:val="4B5523AC"/>
    <w:rsid w:val="4B745559"/>
    <w:rsid w:val="4B835B73"/>
    <w:rsid w:val="4B847D71"/>
    <w:rsid w:val="4B891C7B"/>
    <w:rsid w:val="4B8A76FC"/>
    <w:rsid w:val="4B946474"/>
    <w:rsid w:val="4BAD664B"/>
    <w:rsid w:val="4BAF3A38"/>
    <w:rsid w:val="4BB00A6D"/>
    <w:rsid w:val="4BB22029"/>
    <w:rsid w:val="4BB31E0A"/>
    <w:rsid w:val="4BB3503D"/>
    <w:rsid w:val="4BB8525F"/>
    <w:rsid w:val="4BC4137A"/>
    <w:rsid w:val="4BC74E08"/>
    <w:rsid w:val="4BCA04E6"/>
    <w:rsid w:val="4BD07997"/>
    <w:rsid w:val="4BD340CB"/>
    <w:rsid w:val="4BD92CFF"/>
    <w:rsid w:val="4BDF3E16"/>
    <w:rsid w:val="4BE6762A"/>
    <w:rsid w:val="4BF67B62"/>
    <w:rsid w:val="4BFC6546"/>
    <w:rsid w:val="4C1003D8"/>
    <w:rsid w:val="4C1E5E77"/>
    <w:rsid w:val="4C352DA8"/>
    <w:rsid w:val="4C366477"/>
    <w:rsid w:val="4C38466F"/>
    <w:rsid w:val="4C3E433E"/>
    <w:rsid w:val="4C3F26D9"/>
    <w:rsid w:val="4C5237AB"/>
    <w:rsid w:val="4C6F66E5"/>
    <w:rsid w:val="4C786851"/>
    <w:rsid w:val="4C804791"/>
    <w:rsid w:val="4C8D6069"/>
    <w:rsid w:val="4C942881"/>
    <w:rsid w:val="4CA24C4C"/>
    <w:rsid w:val="4CA45C4B"/>
    <w:rsid w:val="4CAF0F2A"/>
    <w:rsid w:val="4CAF266F"/>
    <w:rsid w:val="4CB34C20"/>
    <w:rsid w:val="4CC13ECD"/>
    <w:rsid w:val="4CD020F9"/>
    <w:rsid w:val="4CD53C2C"/>
    <w:rsid w:val="4CF81387"/>
    <w:rsid w:val="4CF918A7"/>
    <w:rsid w:val="4CFD75DE"/>
    <w:rsid w:val="4CFE5060"/>
    <w:rsid w:val="4D016E80"/>
    <w:rsid w:val="4D0B17EF"/>
    <w:rsid w:val="4D0D1DF7"/>
    <w:rsid w:val="4D0E4802"/>
    <w:rsid w:val="4D1A110D"/>
    <w:rsid w:val="4D1A6F0E"/>
    <w:rsid w:val="4D2F7723"/>
    <w:rsid w:val="4D337AB8"/>
    <w:rsid w:val="4D406BD1"/>
    <w:rsid w:val="4D4E5E6E"/>
    <w:rsid w:val="4D5047B5"/>
    <w:rsid w:val="4D605A45"/>
    <w:rsid w:val="4D76573F"/>
    <w:rsid w:val="4D786A89"/>
    <w:rsid w:val="4D7C07CD"/>
    <w:rsid w:val="4D831E51"/>
    <w:rsid w:val="4D922813"/>
    <w:rsid w:val="4DA02384"/>
    <w:rsid w:val="4DA44E4F"/>
    <w:rsid w:val="4DAB2BFA"/>
    <w:rsid w:val="4DAF7402"/>
    <w:rsid w:val="4DB33889"/>
    <w:rsid w:val="4DBB5413"/>
    <w:rsid w:val="4DC04F72"/>
    <w:rsid w:val="4DCE74AD"/>
    <w:rsid w:val="4DE44BB5"/>
    <w:rsid w:val="4DE52C3E"/>
    <w:rsid w:val="4DF31EEA"/>
    <w:rsid w:val="4DF521AC"/>
    <w:rsid w:val="4DFF2684"/>
    <w:rsid w:val="4E0A2800"/>
    <w:rsid w:val="4E0D58C8"/>
    <w:rsid w:val="4E3573CC"/>
    <w:rsid w:val="4E3D6F61"/>
    <w:rsid w:val="4E5079C5"/>
    <w:rsid w:val="4E623BD3"/>
    <w:rsid w:val="4E63198C"/>
    <w:rsid w:val="4E6B77B5"/>
    <w:rsid w:val="4E7906E7"/>
    <w:rsid w:val="4E837C45"/>
    <w:rsid w:val="4E8F0C6E"/>
    <w:rsid w:val="4E901205"/>
    <w:rsid w:val="4E993495"/>
    <w:rsid w:val="4EA30D9D"/>
    <w:rsid w:val="4EA31AE4"/>
    <w:rsid w:val="4EB2058C"/>
    <w:rsid w:val="4EB60C48"/>
    <w:rsid w:val="4EDE147E"/>
    <w:rsid w:val="4EEA3967"/>
    <w:rsid w:val="4EEE2FCC"/>
    <w:rsid w:val="4EEF1B44"/>
    <w:rsid w:val="4EFC389E"/>
    <w:rsid w:val="4F065435"/>
    <w:rsid w:val="4F0A27C3"/>
    <w:rsid w:val="4F0F005F"/>
    <w:rsid w:val="4F165D52"/>
    <w:rsid w:val="4F1B36C1"/>
    <w:rsid w:val="4F1B7277"/>
    <w:rsid w:val="4F1D369F"/>
    <w:rsid w:val="4F213A90"/>
    <w:rsid w:val="4F290247"/>
    <w:rsid w:val="4F2A1BE1"/>
    <w:rsid w:val="4F323CD2"/>
    <w:rsid w:val="4F332C0A"/>
    <w:rsid w:val="4F433DC8"/>
    <w:rsid w:val="4F4364BE"/>
    <w:rsid w:val="4F4B51A5"/>
    <w:rsid w:val="4F4C48A4"/>
    <w:rsid w:val="4F5328A1"/>
    <w:rsid w:val="4F545D86"/>
    <w:rsid w:val="4F5E0042"/>
    <w:rsid w:val="4F672E4B"/>
    <w:rsid w:val="4F813B2E"/>
    <w:rsid w:val="4F94051C"/>
    <w:rsid w:val="4F9B5FF9"/>
    <w:rsid w:val="4FA14EEC"/>
    <w:rsid w:val="4FA407B6"/>
    <w:rsid w:val="4FA84227"/>
    <w:rsid w:val="4FAF6B47"/>
    <w:rsid w:val="4FB11D0A"/>
    <w:rsid w:val="4FBC3C5F"/>
    <w:rsid w:val="4FC04863"/>
    <w:rsid w:val="4FC15B68"/>
    <w:rsid w:val="4FC231DA"/>
    <w:rsid w:val="4FC3075F"/>
    <w:rsid w:val="4FCD5398"/>
    <w:rsid w:val="4FD64808"/>
    <w:rsid w:val="4FE223EE"/>
    <w:rsid w:val="4FE3097A"/>
    <w:rsid w:val="4FE51543"/>
    <w:rsid w:val="4FF64D3D"/>
    <w:rsid w:val="4FFD3A77"/>
    <w:rsid w:val="4FFD46C8"/>
    <w:rsid w:val="50142188"/>
    <w:rsid w:val="501B6F55"/>
    <w:rsid w:val="501F4F53"/>
    <w:rsid w:val="501F59A7"/>
    <w:rsid w:val="50290A0F"/>
    <w:rsid w:val="503642D7"/>
    <w:rsid w:val="503D3F59"/>
    <w:rsid w:val="503E02C1"/>
    <w:rsid w:val="50640487"/>
    <w:rsid w:val="50650862"/>
    <w:rsid w:val="50656382"/>
    <w:rsid w:val="50681179"/>
    <w:rsid w:val="50701B84"/>
    <w:rsid w:val="50777CE9"/>
    <w:rsid w:val="508126D0"/>
    <w:rsid w:val="5095674A"/>
    <w:rsid w:val="50A01EE7"/>
    <w:rsid w:val="50A6221C"/>
    <w:rsid w:val="50AC4C20"/>
    <w:rsid w:val="50B61B8B"/>
    <w:rsid w:val="50B928D0"/>
    <w:rsid w:val="50C13C5F"/>
    <w:rsid w:val="50C16C1C"/>
    <w:rsid w:val="50C54111"/>
    <w:rsid w:val="50C577D9"/>
    <w:rsid w:val="50CC5221"/>
    <w:rsid w:val="50DA6635"/>
    <w:rsid w:val="50E00158"/>
    <w:rsid w:val="50E8434B"/>
    <w:rsid w:val="50F0291C"/>
    <w:rsid w:val="50F04F55"/>
    <w:rsid w:val="50F471DE"/>
    <w:rsid w:val="50F5073D"/>
    <w:rsid w:val="51016883"/>
    <w:rsid w:val="510703FD"/>
    <w:rsid w:val="51103841"/>
    <w:rsid w:val="51183F80"/>
    <w:rsid w:val="51201CFF"/>
    <w:rsid w:val="51286AE9"/>
    <w:rsid w:val="512963B4"/>
    <w:rsid w:val="514C5F8F"/>
    <w:rsid w:val="51617293"/>
    <w:rsid w:val="516C5BB7"/>
    <w:rsid w:val="517A4EB9"/>
    <w:rsid w:val="51881606"/>
    <w:rsid w:val="518E2820"/>
    <w:rsid w:val="51915172"/>
    <w:rsid w:val="51AC5137"/>
    <w:rsid w:val="51B463DB"/>
    <w:rsid w:val="51C31254"/>
    <w:rsid w:val="51C979DD"/>
    <w:rsid w:val="51E03964"/>
    <w:rsid w:val="51E11DA9"/>
    <w:rsid w:val="51E36417"/>
    <w:rsid w:val="51FD7691"/>
    <w:rsid w:val="520619A9"/>
    <w:rsid w:val="520A22AE"/>
    <w:rsid w:val="52132015"/>
    <w:rsid w:val="521450B8"/>
    <w:rsid w:val="52210B4A"/>
    <w:rsid w:val="52247A0F"/>
    <w:rsid w:val="522A0FEB"/>
    <w:rsid w:val="52337DB7"/>
    <w:rsid w:val="52383966"/>
    <w:rsid w:val="52385792"/>
    <w:rsid w:val="523D42DD"/>
    <w:rsid w:val="523F6AFF"/>
    <w:rsid w:val="524F31BF"/>
    <w:rsid w:val="52514A0D"/>
    <w:rsid w:val="5273265C"/>
    <w:rsid w:val="527833B2"/>
    <w:rsid w:val="528506DC"/>
    <w:rsid w:val="52853336"/>
    <w:rsid w:val="52881D50"/>
    <w:rsid w:val="52991222"/>
    <w:rsid w:val="529B3EC4"/>
    <w:rsid w:val="529C7876"/>
    <w:rsid w:val="529F18E6"/>
    <w:rsid w:val="52BB569C"/>
    <w:rsid w:val="52BE7E17"/>
    <w:rsid w:val="52C23008"/>
    <w:rsid w:val="52CB118B"/>
    <w:rsid w:val="52D65176"/>
    <w:rsid w:val="52DB19FD"/>
    <w:rsid w:val="52EE339D"/>
    <w:rsid w:val="5306292A"/>
    <w:rsid w:val="530822C8"/>
    <w:rsid w:val="530869BB"/>
    <w:rsid w:val="5314426D"/>
    <w:rsid w:val="531B0AE8"/>
    <w:rsid w:val="531D1AFE"/>
    <w:rsid w:val="53324996"/>
    <w:rsid w:val="533A4153"/>
    <w:rsid w:val="533E1E81"/>
    <w:rsid w:val="535321C1"/>
    <w:rsid w:val="535940CA"/>
    <w:rsid w:val="536F3F83"/>
    <w:rsid w:val="536F7061"/>
    <w:rsid w:val="53703E8D"/>
    <w:rsid w:val="53707DDE"/>
    <w:rsid w:val="537D60B6"/>
    <w:rsid w:val="537E0058"/>
    <w:rsid w:val="538B3AD3"/>
    <w:rsid w:val="539223BE"/>
    <w:rsid w:val="53950AA6"/>
    <w:rsid w:val="53BF5670"/>
    <w:rsid w:val="53C502CE"/>
    <w:rsid w:val="53CD3C00"/>
    <w:rsid w:val="53D02F55"/>
    <w:rsid w:val="53E12D9E"/>
    <w:rsid w:val="53E64B1C"/>
    <w:rsid w:val="53E8652B"/>
    <w:rsid w:val="53EB486A"/>
    <w:rsid w:val="53EE67E9"/>
    <w:rsid w:val="53F342C8"/>
    <w:rsid w:val="53FD1C03"/>
    <w:rsid w:val="54020BC2"/>
    <w:rsid w:val="540310FA"/>
    <w:rsid w:val="54037045"/>
    <w:rsid w:val="540374BC"/>
    <w:rsid w:val="540632E9"/>
    <w:rsid w:val="540817F6"/>
    <w:rsid w:val="54105691"/>
    <w:rsid w:val="541212FA"/>
    <w:rsid w:val="54270E2A"/>
    <w:rsid w:val="543E515D"/>
    <w:rsid w:val="543F413B"/>
    <w:rsid w:val="544B0D54"/>
    <w:rsid w:val="544C2897"/>
    <w:rsid w:val="544F115F"/>
    <w:rsid w:val="54591CDE"/>
    <w:rsid w:val="545C6276"/>
    <w:rsid w:val="545E6E73"/>
    <w:rsid w:val="54625354"/>
    <w:rsid w:val="547E1CAE"/>
    <w:rsid w:val="54984A43"/>
    <w:rsid w:val="54BA080E"/>
    <w:rsid w:val="54C557E7"/>
    <w:rsid w:val="54C65EC0"/>
    <w:rsid w:val="54D43100"/>
    <w:rsid w:val="54F87B39"/>
    <w:rsid w:val="54FE451C"/>
    <w:rsid w:val="55187800"/>
    <w:rsid w:val="551A610F"/>
    <w:rsid w:val="55243733"/>
    <w:rsid w:val="552557D6"/>
    <w:rsid w:val="552760F6"/>
    <w:rsid w:val="552A09F4"/>
    <w:rsid w:val="552D2D4B"/>
    <w:rsid w:val="5532296D"/>
    <w:rsid w:val="55372936"/>
    <w:rsid w:val="553C3366"/>
    <w:rsid w:val="55465E74"/>
    <w:rsid w:val="55472CA4"/>
    <w:rsid w:val="55481377"/>
    <w:rsid w:val="554D4D81"/>
    <w:rsid w:val="555154EE"/>
    <w:rsid w:val="5556068C"/>
    <w:rsid w:val="557B2E4B"/>
    <w:rsid w:val="558D1E6B"/>
    <w:rsid w:val="558F4A1E"/>
    <w:rsid w:val="55942252"/>
    <w:rsid w:val="55966EF8"/>
    <w:rsid w:val="55987FBD"/>
    <w:rsid w:val="559A4E37"/>
    <w:rsid w:val="559C5DB5"/>
    <w:rsid w:val="55AC361A"/>
    <w:rsid w:val="55B07AA1"/>
    <w:rsid w:val="55B22FA5"/>
    <w:rsid w:val="55B41C64"/>
    <w:rsid w:val="55B654BF"/>
    <w:rsid w:val="55EC2897"/>
    <w:rsid w:val="55FA242D"/>
    <w:rsid w:val="55FA6DE6"/>
    <w:rsid w:val="55FB6EF0"/>
    <w:rsid w:val="560378AC"/>
    <w:rsid w:val="56073E8B"/>
    <w:rsid w:val="5624057A"/>
    <w:rsid w:val="562B51ED"/>
    <w:rsid w:val="5630640C"/>
    <w:rsid w:val="564F1C59"/>
    <w:rsid w:val="5652120D"/>
    <w:rsid w:val="5652511E"/>
    <w:rsid w:val="56543A0D"/>
    <w:rsid w:val="566B50BC"/>
    <w:rsid w:val="56760CC4"/>
    <w:rsid w:val="567C3CF2"/>
    <w:rsid w:val="569E1AC8"/>
    <w:rsid w:val="56A4132F"/>
    <w:rsid w:val="56A45460"/>
    <w:rsid w:val="56A81C8B"/>
    <w:rsid w:val="56AC279F"/>
    <w:rsid w:val="56AF2E6F"/>
    <w:rsid w:val="56B4565D"/>
    <w:rsid w:val="56BB7AC5"/>
    <w:rsid w:val="56DB3D0C"/>
    <w:rsid w:val="56DC160C"/>
    <w:rsid w:val="56DF0963"/>
    <w:rsid w:val="56E11FFE"/>
    <w:rsid w:val="56E2575C"/>
    <w:rsid w:val="56F37D3E"/>
    <w:rsid w:val="56F473C0"/>
    <w:rsid w:val="56FD3D8C"/>
    <w:rsid w:val="57065F83"/>
    <w:rsid w:val="57090CD1"/>
    <w:rsid w:val="57097BE4"/>
    <w:rsid w:val="570B6550"/>
    <w:rsid w:val="57196157"/>
    <w:rsid w:val="571B2939"/>
    <w:rsid w:val="571D7FF8"/>
    <w:rsid w:val="57427E88"/>
    <w:rsid w:val="57484C26"/>
    <w:rsid w:val="5758628A"/>
    <w:rsid w:val="575A0C81"/>
    <w:rsid w:val="575E6A47"/>
    <w:rsid w:val="57617889"/>
    <w:rsid w:val="57684BF4"/>
    <w:rsid w:val="576D4086"/>
    <w:rsid w:val="57713185"/>
    <w:rsid w:val="57745BB6"/>
    <w:rsid w:val="57776D7C"/>
    <w:rsid w:val="5780798D"/>
    <w:rsid w:val="57814D52"/>
    <w:rsid w:val="57855787"/>
    <w:rsid w:val="578A1BF3"/>
    <w:rsid w:val="578B60AE"/>
    <w:rsid w:val="579953C3"/>
    <w:rsid w:val="579A2E45"/>
    <w:rsid w:val="579D4D85"/>
    <w:rsid w:val="57A17F6F"/>
    <w:rsid w:val="57A77F5C"/>
    <w:rsid w:val="57B02739"/>
    <w:rsid w:val="57BA13EC"/>
    <w:rsid w:val="57BD6C04"/>
    <w:rsid w:val="57C51573"/>
    <w:rsid w:val="57D6036B"/>
    <w:rsid w:val="57DE28CC"/>
    <w:rsid w:val="57DF5F8B"/>
    <w:rsid w:val="57F57CDB"/>
    <w:rsid w:val="57FF606E"/>
    <w:rsid w:val="580524F4"/>
    <w:rsid w:val="580716CC"/>
    <w:rsid w:val="58076362"/>
    <w:rsid w:val="580E08D8"/>
    <w:rsid w:val="58220A26"/>
    <w:rsid w:val="58381DBD"/>
    <w:rsid w:val="5839086E"/>
    <w:rsid w:val="58394C38"/>
    <w:rsid w:val="58423CCA"/>
    <w:rsid w:val="584B7C06"/>
    <w:rsid w:val="58510290"/>
    <w:rsid w:val="58553705"/>
    <w:rsid w:val="5855370B"/>
    <w:rsid w:val="58590F71"/>
    <w:rsid w:val="58695A9C"/>
    <w:rsid w:val="58750991"/>
    <w:rsid w:val="58774DB2"/>
    <w:rsid w:val="589C176E"/>
    <w:rsid w:val="58B31DD9"/>
    <w:rsid w:val="58B32AFD"/>
    <w:rsid w:val="58B91125"/>
    <w:rsid w:val="58C64CF3"/>
    <w:rsid w:val="58CB3B78"/>
    <w:rsid w:val="58D21B64"/>
    <w:rsid w:val="58E1168D"/>
    <w:rsid w:val="58EE2472"/>
    <w:rsid w:val="58F22C4C"/>
    <w:rsid w:val="58FA7086"/>
    <w:rsid w:val="590A18DC"/>
    <w:rsid w:val="590D2328"/>
    <w:rsid w:val="590F51DD"/>
    <w:rsid w:val="59232C0B"/>
    <w:rsid w:val="593A62F9"/>
    <w:rsid w:val="594D06B7"/>
    <w:rsid w:val="594E4C34"/>
    <w:rsid w:val="5952037F"/>
    <w:rsid w:val="59561B11"/>
    <w:rsid w:val="5956560A"/>
    <w:rsid w:val="595B4CF8"/>
    <w:rsid w:val="59600D8B"/>
    <w:rsid w:val="5964723E"/>
    <w:rsid w:val="59876FC0"/>
    <w:rsid w:val="598A6F73"/>
    <w:rsid w:val="598B4E15"/>
    <w:rsid w:val="598D03EC"/>
    <w:rsid w:val="598D7696"/>
    <w:rsid w:val="59970566"/>
    <w:rsid w:val="59993E04"/>
    <w:rsid w:val="599C0038"/>
    <w:rsid w:val="59C35A05"/>
    <w:rsid w:val="59C43D4D"/>
    <w:rsid w:val="59C51FD2"/>
    <w:rsid w:val="59C83A39"/>
    <w:rsid w:val="59EB4913"/>
    <w:rsid w:val="59EF54EB"/>
    <w:rsid w:val="59EF72F7"/>
    <w:rsid w:val="59F31D20"/>
    <w:rsid w:val="59F7086A"/>
    <w:rsid w:val="59FB18DA"/>
    <w:rsid w:val="5A053C14"/>
    <w:rsid w:val="5A0A1A6E"/>
    <w:rsid w:val="5A1B7661"/>
    <w:rsid w:val="5A1E308F"/>
    <w:rsid w:val="5A261DCD"/>
    <w:rsid w:val="5A361544"/>
    <w:rsid w:val="5A3F108A"/>
    <w:rsid w:val="5A420BA5"/>
    <w:rsid w:val="5A485CEB"/>
    <w:rsid w:val="5A5A5B50"/>
    <w:rsid w:val="5A5B363C"/>
    <w:rsid w:val="5A5C45C2"/>
    <w:rsid w:val="5A680CD4"/>
    <w:rsid w:val="5A6D76C0"/>
    <w:rsid w:val="5A723A0D"/>
    <w:rsid w:val="5A731374"/>
    <w:rsid w:val="5A762255"/>
    <w:rsid w:val="5A833B0D"/>
    <w:rsid w:val="5A9D621A"/>
    <w:rsid w:val="5AA62E48"/>
    <w:rsid w:val="5AB17106"/>
    <w:rsid w:val="5AC219D6"/>
    <w:rsid w:val="5AC36F56"/>
    <w:rsid w:val="5ACF2987"/>
    <w:rsid w:val="5ACF40CD"/>
    <w:rsid w:val="5ACF53EE"/>
    <w:rsid w:val="5AD03C8C"/>
    <w:rsid w:val="5AD240D0"/>
    <w:rsid w:val="5ADF64A5"/>
    <w:rsid w:val="5AE91F64"/>
    <w:rsid w:val="5AEA4836"/>
    <w:rsid w:val="5AFA2547"/>
    <w:rsid w:val="5AFD3B96"/>
    <w:rsid w:val="5B0453E0"/>
    <w:rsid w:val="5B0C640C"/>
    <w:rsid w:val="5B2D305D"/>
    <w:rsid w:val="5B2F0FF1"/>
    <w:rsid w:val="5B351432"/>
    <w:rsid w:val="5B4361C9"/>
    <w:rsid w:val="5B443E9C"/>
    <w:rsid w:val="5B4F1FDC"/>
    <w:rsid w:val="5B707739"/>
    <w:rsid w:val="5B7C6858"/>
    <w:rsid w:val="5B821531"/>
    <w:rsid w:val="5B853B2A"/>
    <w:rsid w:val="5B956906"/>
    <w:rsid w:val="5B9D42DA"/>
    <w:rsid w:val="5BA26195"/>
    <w:rsid w:val="5BA657F5"/>
    <w:rsid w:val="5BB43EFF"/>
    <w:rsid w:val="5BC24519"/>
    <w:rsid w:val="5BC866DE"/>
    <w:rsid w:val="5BC92512"/>
    <w:rsid w:val="5BCA5D03"/>
    <w:rsid w:val="5BCE4EA4"/>
    <w:rsid w:val="5BD209C4"/>
    <w:rsid w:val="5BD57CB7"/>
    <w:rsid w:val="5BD637EC"/>
    <w:rsid w:val="5BDE5A43"/>
    <w:rsid w:val="5BE0323A"/>
    <w:rsid w:val="5BE84759"/>
    <w:rsid w:val="5BF501EB"/>
    <w:rsid w:val="5BF92475"/>
    <w:rsid w:val="5C153EE9"/>
    <w:rsid w:val="5C1B7F5F"/>
    <w:rsid w:val="5C204209"/>
    <w:rsid w:val="5C227DB6"/>
    <w:rsid w:val="5C2432B9"/>
    <w:rsid w:val="5C34166A"/>
    <w:rsid w:val="5C402575"/>
    <w:rsid w:val="5C42366F"/>
    <w:rsid w:val="5C4A36B7"/>
    <w:rsid w:val="5C4A56F7"/>
    <w:rsid w:val="5C4E44D4"/>
    <w:rsid w:val="5C4F66E0"/>
    <w:rsid w:val="5C515082"/>
    <w:rsid w:val="5C5552A6"/>
    <w:rsid w:val="5C677428"/>
    <w:rsid w:val="5C825851"/>
    <w:rsid w:val="5C944872"/>
    <w:rsid w:val="5CA6258E"/>
    <w:rsid w:val="5CD7479C"/>
    <w:rsid w:val="5CE536CF"/>
    <w:rsid w:val="5CE568F8"/>
    <w:rsid w:val="5CF33064"/>
    <w:rsid w:val="5D055E2A"/>
    <w:rsid w:val="5D0576C4"/>
    <w:rsid w:val="5D0C57B5"/>
    <w:rsid w:val="5D0E453B"/>
    <w:rsid w:val="5D1715C8"/>
    <w:rsid w:val="5D1F69D4"/>
    <w:rsid w:val="5D230368"/>
    <w:rsid w:val="5D255730"/>
    <w:rsid w:val="5D3D4EE6"/>
    <w:rsid w:val="5D534F69"/>
    <w:rsid w:val="5D5667E0"/>
    <w:rsid w:val="5D580881"/>
    <w:rsid w:val="5D6261CB"/>
    <w:rsid w:val="5D633394"/>
    <w:rsid w:val="5D7E0072"/>
    <w:rsid w:val="5D9C1821"/>
    <w:rsid w:val="5D9C7622"/>
    <w:rsid w:val="5DA13534"/>
    <w:rsid w:val="5DAE2DC0"/>
    <w:rsid w:val="5DBD2E94"/>
    <w:rsid w:val="5DCB56EC"/>
    <w:rsid w:val="5DD067F8"/>
    <w:rsid w:val="5DD3703F"/>
    <w:rsid w:val="5DD43000"/>
    <w:rsid w:val="5DDB6067"/>
    <w:rsid w:val="5DE04E29"/>
    <w:rsid w:val="5DE448D2"/>
    <w:rsid w:val="5DE62F1A"/>
    <w:rsid w:val="5DED0B0B"/>
    <w:rsid w:val="5DF441FF"/>
    <w:rsid w:val="5E0A7399"/>
    <w:rsid w:val="5E1463C6"/>
    <w:rsid w:val="5E153A69"/>
    <w:rsid w:val="5E1A20EF"/>
    <w:rsid w:val="5E1E6113"/>
    <w:rsid w:val="5E28572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97C8F"/>
    <w:rsid w:val="5EB732BA"/>
    <w:rsid w:val="5EBC76FA"/>
    <w:rsid w:val="5EBE2BFD"/>
    <w:rsid w:val="5EC16D37"/>
    <w:rsid w:val="5ECA3DF8"/>
    <w:rsid w:val="5ECC1F13"/>
    <w:rsid w:val="5ECE195E"/>
    <w:rsid w:val="5EDC21AD"/>
    <w:rsid w:val="5EDD34B2"/>
    <w:rsid w:val="5EDE1CAC"/>
    <w:rsid w:val="5EE81843"/>
    <w:rsid w:val="5EE86EFA"/>
    <w:rsid w:val="5EEA6F44"/>
    <w:rsid w:val="5EEC0249"/>
    <w:rsid w:val="5EED3932"/>
    <w:rsid w:val="5EED45AB"/>
    <w:rsid w:val="5EEF23A7"/>
    <w:rsid w:val="5F0936DE"/>
    <w:rsid w:val="5F107184"/>
    <w:rsid w:val="5F165565"/>
    <w:rsid w:val="5F171517"/>
    <w:rsid w:val="5F1E74F2"/>
    <w:rsid w:val="5F401ED1"/>
    <w:rsid w:val="5F530EF2"/>
    <w:rsid w:val="5F5F2786"/>
    <w:rsid w:val="5F62295E"/>
    <w:rsid w:val="5F685614"/>
    <w:rsid w:val="5F700C2B"/>
    <w:rsid w:val="5F721C1C"/>
    <w:rsid w:val="5F7D16C2"/>
    <w:rsid w:val="5F892553"/>
    <w:rsid w:val="5FA263AE"/>
    <w:rsid w:val="5FA45185"/>
    <w:rsid w:val="5FAB77AE"/>
    <w:rsid w:val="5FB301BB"/>
    <w:rsid w:val="5FB66778"/>
    <w:rsid w:val="5FCF7A4A"/>
    <w:rsid w:val="5FD14660"/>
    <w:rsid w:val="5FD2177E"/>
    <w:rsid w:val="5FD22AC5"/>
    <w:rsid w:val="5FE61766"/>
    <w:rsid w:val="5FFE3CB5"/>
    <w:rsid w:val="6001450E"/>
    <w:rsid w:val="600606A1"/>
    <w:rsid w:val="600808E3"/>
    <w:rsid w:val="60087F08"/>
    <w:rsid w:val="600A6271"/>
    <w:rsid w:val="600E2D86"/>
    <w:rsid w:val="601B12D0"/>
    <w:rsid w:val="60232A0F"/>
    <w:rsid w:val="60252D65"/>
    <w:rsid w:val="602D3D16"/>
    <w:rsid w:val="60357E4D"/>
    <w:rsid w:val="60394CB2"/>
    <w:rsid w:val="603E65DF"/>
    <w:rsid w:val="60443CFE"/>
    <w:rsid w:val="6046706E"/>
    <w:rsid w:val="60492B3E"/>
    <w:rsid w:val="604C140E"/>
    <w:rsid w:val="6051159A"/>
    <w:rsid w:val="60565E64"/>
    <w:rsid w:val="60594106"/>
    <w:rsid w:val="60710045"/>
    <w:rsid w:val="60870AEB"/>
    <w:rsid w:val="6089047C"/>
    <w:rsid w:val="608D4CE3"/>
    <w:rsid w:val="60A6194B"/>
    <w:rsid w:val="60A859A2"/>
    <w:rsid w:val="60AB29AA"/>
    <w:rsid w:val="60AB682C"/>
    <w:rsid w:val="60AC67BD"/>
    <w:rsid w:val="60AD5CAC"/>
    <w:rsid w:val="60C06489"/>
    <w:rsid w:val="60C8248D"/>
    <w:rsid w:val="60CE2A0E"/>
    <w:rsid w:val="60DD2BF7"/>
    <w:rsid w:val="60DD7ADC"/>
    <w:rsid w:val="60E81DBB"/>
    <w:rsid w:val="60F25866"/>
    <w:rsid w:val="61004761"/>
    <w:rsid w:val="610E2FD4"/>
    <w:rsid w:val="611159D0"/>
    <w:rsid w:val="611D5644"/>
    <w:rsid w:val="61204933"/>
    <w:rsid w:val="612354B4"/>
    <w:rsid w:val="612358EA"/>
    <w:rsid w:val="61351A56"/>
    <w:rsid w:val="613E3F16"/>
    <w:rsid w:val="613F62A8"/>
    <w:rsid w:val="61415F87"/>
    <w:rsid w:val="614A51BA"/>
    <w:rsid w:val="61596339"/>
    <w:rsid w:val="615A223E"/>
    <w:rsid w:val="615B47A6"/>
    <w:rsid w:val="615E224C"/>
    <w:rsid w:val="615F5027"/>
    <w:rsid w:val="616435A6"/>
    <w:rsid w:val="617407F9"/>
    <w:rsid w:val="61765A6E"/>
    <w:rsid w:val="617D4CFF"/>
    <w:rsid w:val="6180664F"/>
    <w:rsid w:val="619052BD"/>
    <w:rsid w:val="619940E6"/>
    <w:rsid w:val="61A274BD"/>
    <w:rsid w:val="61A6014E"/>
    <w:rsid w:val="61A7141F"/>
    <w:rsid w:val="61D63921"/>
    <w:rsid w:val="61DB724C"/>
    <w:rsid w:val="61DD07F6"/>
    <w:rsid w:val="61E6342A"/>
    <w:rsid w:val="61EE4C3C"/>
    <w:rsid w:val="61F439C5"/>
    <w:rsid w:val="61F443E9"/>
    <w:rsid w:val="61F61B0C"/>
    <w:rsid w:val="61F84262"/>
    <w:rsid w:val="62200CC3"/>
    <w:rsid w:val="62213533"/>
    <w:rsid w:val="62270D05"/>
    <w:rsid w:val="62282D1D"/>
    <w:rsid w:val="62461BF2"/>
    <w:rsid w:val="625A2CAE"/>
    <w:rsid w:val="62607426"/>
    <w:rsid w:val="626D2409"/>
    <w:rsid w:val="62867444"/>
    <w:rsid w:val="628B741B"/>
    <w:rsid w:val="629810C3"/>
    <w:rsid w:val="629D7EE8"/>
    <w:rsid w:val="62A63868"/>
    <w:rsid w:val="62BC107A"/>
    <w:rsid w:val="62C73A65"/>
    <w:rsid w:val="62D50998"/>
    <w:rsid w:val="62DE5BC0"/>
    <w:rsid w:val="62E7507D"/>
    <w:rsid w:val="62F67597"/>
    <w:rsid w:val="63056D1B"/>
    <w:rsid w:val="630C34D0"/>
    <w:rsid w:val="63173061"/>
    <w:rsid w:val="631E48B7"/>
    <w:rsid w:val="6322080B"/>
    <w:rsid w:val="632921B9"/>
    <w:rsid w:val="632E6C44"/>
    <w:rsid w:val="633F4960"/>
    <w:rsid w:val="634C1546"/>
    <w:rsid w:val="635F6BBD"/>
    <w:rsid w:val="636B232C"/>
    <w:rsid w:val="6388340F"/>
    <w:rsid w:val="638C5281"/>
    <w:rsid w:val="638F7AFC"/>
    <w:rsid w:val="639215D8"/>
    <w:rsid w:val="639B507A"/>
    <w:rsid w:val="63A36BE5"/>
    <w:rsid w:val="63A8247C"/>
    <w:rsid w:val="63B934B7"/>
    <w:rsid w:val="63C04B8A"/>
    <w:rsid w:val="63D42229"/>
    <w:rsid w:val="63D42C55"/>
    <w:rsid w:val="63D73BDA"/>
    <w:rsid w:val="63D8474D"/>
    <w:rsid w:val="63DB746A"/>
    <w:rsid w:val="63E5033D"/>
    <w:rsid w:val="63EE162B"/>
    <w:rsid w:val="63F75B8A"/>
    <w:rsid w:val="640310C7"/>
    <w:rsid w:val="640F0C5E"/>
    <w:rsid w:val="64155C8D"/>
    <w:rsid w:val="64161140"/>
    <w:rsid w:val="641A29D9"/>
    <w:rsid w:val="641B0760"/>
    <w:rsid w:val="641D00AF"/>
    <w:rsid w:val="641D74E0"/>
    <w:rsid w:val="641E1DE4"/>
    <w:rsid w:val="64203CB4"/>
    <w:rsid w:val="64222857"/>
    <w:rsid w:val="64335EB1"/>
    <w:rsid w:val="643519B3"/>
    <w:rsid w:val="643F48DC"/>
    <w:rsid w:val="64433CD0"/>
    <w:rsid w:val="64475192"/>
    <w:rsid w:val="64495F72"/>
    <w:rsid w:val="644B199A"/>
    <w:rsid w:val="644B25BC"/>
    <w:rsid w:val="64570B28"/>
    <w:rsid w:val="645779AB"/>
    <w:rsid w:val="64580D33"/>
    <w:rsid w:val="646005E6"/>
    <w:rsid w:val="646754AC"/>
    <w:rsid w:val="646975D9"/>
    <w:rsid w:val="647F6D16"/>
    <w:rsid w:val="64844824"/>
    <w:rsid w:val="64976216"/>
    <w:rsid w:val="6498217B"/>
    <w:rsid w:val="64987FF4"/>
    <w:rsid w:val="649E5BA1"/>
    <w:rsid w:val="64A473F3"/>
    <w:rsid w:val="64C92268"/>
    <w:rsid w:val="64CA7CEA"/>
    <w:rsid w:val="64D0513C"/>
    <w:rsid w:val="64DC7048"/>
    <w:rsid w:val="64EB1866"/>
    <w:rsid w:val="64F702F2"/>
    <w:rsid w:val="650B0753"/>
    <w:rsid w:val="651424EE"/>
    <w:rsid w:val="65257BC1"/>
    <w:rsid w:val="65287A29"/>
    <w:rsid w:val="65297D03"/>
    <w:rsid w:val="65415552"/>
    <w:rsid w:val="65537EF9"/>
    <w:rsid w:val="655E1155"/>
    <w:rsid w:val="655F4773"/>
    <w:rsid w:val="65636455"/>
    <w:rsid w:val="65736E7E"/>
    <w:rsid w:val="657962B9"/>
    <w:rsid w:val="658C5741"/>
    <w:rsid w:val="659E7432"/>
    <w:rsid w:val="65A240BE"/>
    <w:rsid w:val="65A273A9"/>
    <w:rsid w:val="65A924D2"/>
    <w:rsid w:val="65AE5114"/>
    <w:rsid w:val="65B61DD9"/>
    <w:rsid w:val="65B66656"/>
    <w:rsid w:val="65BB5075"/>
    <w:rsid w:val="65C0580D"/>
    <w:rsid w:val="65C149FF"/>
    <w:rsid w:val="65C76D0B"/>
    <w:rsid w:val="65CB5A52"/>
    <w:rsid w:val="65D23BC4"/>
    <w:rsid w:val="65FE41D7"/>
    <w:rsid w:val="66002819"/>
    <w:rsid w:val="662861DC"/>
    <w:rsid w:val="66286B79"/>
    <w:rsid w:val="662F5033"/>
    <w:rsid w:val="66306F43"/>
    <w:rsid w:val="66326E97"/>
    <w:rsid w:val="663848B9"/>
    <w:rsid w:val="663933C4"/>
    <w:rsid w:val="663F4723"/>
    <w:rsid w:val="6640163E"/>
    <w:rsid w:val="664615E7"/>
    <w:rsid w:val="66513470"/>
    <w:rsid w:val="66515E90"/>
    <w:rsid w:val="665265F4"/>
    <w:rsid w:val="66540438"/>
    <w:rsid w:val="66634353"/>
    <w:rsid w:val="6679056C"/>
    <w:rsid w:val="6684253E"/>
    <w:rsid w:val="66903DD3"/>
    <w:rsid w:val="66943E18"/>
    <w:rsid w:val="6699652A"/>
    <w:rsid w:val="66A10ECF"/>
    <w:rsid w:val="66A93110"/>
    <w:rsid w:val="66AB08E7"/>
    <w:rsid w:val="66AC664F"/>
    <w:rsid w:val="66AF2B2C"/>
    <w:rsid w:val="66B372BF"/>
    <w:rsid w:val="66B41A4A"/>
    <w:rsid w:val="66C2220F"/>
    <w:rsid w:val="66C45526"/>
    <w:rsid w:val="66DB2A60"/>
    <w:rsid w:val="66E42A4D"/>
    <w:rsid w:val="66EC68BC"/>
    <w:rsid w:val="66F0190D"/>
    <w:rsid w:val="66FE4406"/>
    <w:rsid w:val="67064E16"/>
    <w:rsid w:val="670B0EC0"/>
    <w:rsid w:val="670F0B32"/>
    <w:rsid w:val="671723BE"/>
    <w:rsid w:val="671B479E"/>
    <w:rsid w:val="672833FF"/>
    <w:rsid w:val="67290ACE"/>
    <w:rsid w:val="6738767F"/>
    <w:rsid w:val="673C1CED"/>
    <w:rsid w:val="67447CAA"/>
    <w:rsid w:val="67547394"/>
    <w:rsid w:val="67572AA2"/>
    <w:rsid w:val="675B2F4B"/>
    <w:rsid w:val="67603184"/>
    <w:rsid w:val="676569B0"/>
    <w:rsid w:val="676E53AF"/>
    <w:rsid w:val="67703441"/>
    <w:rsid w:val="6772565E"/>
    <w:rsid w:val="67830DB6"/>
    <w:rsid w:val="678F5EF4"/>
    <w:rsid w:val="679C72E6"/>
    <w:rsid w:val="679D7D9D"/>
    <w:rsid w:val="67A16316"/>
    <w:rsid w:val="67B2192C"/>
    <w:rsid w:val="67B52945"/>
    <w:rsid w:val="67B84A87"/>
    <w:rsid w:val="67CA2856"/>
    <w:rsid w:val="67D5396B"/>
    <w:rsid w:val="67DE14F6"/>
    <w:rsid w:val="67E24A58"/>
    <w:rsid w:val="67E76177"/>
    <w:rsid w:val="67E967D4"/>
    <w:rsid w:val="67EA1DE2"/>
    <w:rsid w:val="67F51F5D"/>
    <w:rsid w:val="68014B1A"/>
    <w:rsid w:val="68112B7C"/>
    <w:rsid w:val="681C0F9C"/>
    <w:rsid w:val="68280A59"/>
    <w:rsid w:val="682D188D"/>
    <w:rsid w:val="682D49B9"/>
    <w:rsid w:val="68305A7D"/>
    <w:rsid w:val="6845021D"/>
    <w:rsid w:val="684B40A8"/>
    <w:rsid w:val="684D2590"/>
    <w:rsid w:val="685448E5"/>
    <w:rsid w:val="68562439"/>
    <w:rsid w:val="68567ADB"/>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D141F"/>
    <w:rsid w:val="68C2312F"/>
    <w:rsid w:val="68CC74D0"/>
    <w:rsid w:val="68CD117F"/>
    <w:rsid w:val="68CE0DFE"/>
    <w:rsid w:val="68D046DE"/>
    <w:rsid w:val="68DD058C"/>
    <w:rsid w:val="68E301D6"/>
    <w:rsid w:val="68E84B74"/>
    <w:rsid w:val="68F62434"/>
    <w:rsid w:val="690300E6"/>
    <w:rsid w:val="691F004A"/>
    <w:rsid w:val="69203F0E"/>
    <w:rsid w:val="692563EE"/>
    <w:rsid w:val="692D20AF"/>
    <w:rsid w:val="692D6BB4"/>
    <w:rsid w:val="693224AE"/>
    <w:rsid w:val="693A17B3"/>
    <w:rsid w:val="69456602"/>
    <w:rsid w:val="69457B44"/>
    <w:rsid w:val="69521102"/>
    <w:rsid w:val="69624FCF"/>
    <w:rsid w:val="6965727E"/>
    <w:rsid w:val="69750F1B"/>
    <w:rsid w:val="69781FA1"/>
    <w:rsid w:val="69785369"/>
    <w:rsid w:val="697B19FC"/>
    <w:rsid w:val="697C7276"/>
    <w:rsid w:val="697F0C22"/>
    <w:rsid w:val="69950BC7"/>
    <w:rsid w:val="69983D4A"/>
    <w:rsid w:val="699E14D7"/>
    <w:rsid w:val="69A47B5D"/>
    <w:rsid w:val="69AB32EC"/>
    <w:rsid w:val="69AE77B4"/>
    <w:rsid w:val="69BA5584"/>
    <w:rsid w:val="69C0232F"/>
    <w:rsid w:val="69C62E9A"/>
    <w:rsid w:val="69D064D5"/>
    <w:rsid w:val="69D9569F"/>
    <w:rsid w:val="69DA0903"/>
    <w:rsid w:val="69DE22C1"/>
    <w:rsid w:val="69F076EC"/>
    <w:rsid w:val="6A0C4C59"/>
    <w:rsid w:val="6A0C7811"/>
    <w:rsid w:val="6A0D3432"/>
    <w:rsid w:val="6A0E77F1"/>
    <w:rsid w:val="6A1B06CD"/>
    <w:rsid w:val="6A1B22BF"/>
    <w:rsid w:val="6A28295C"/>
    <w:rsid w:val="6A2E7184"/>
    <w:rsid w:val="6A3001E9"/>
    <w:rsid w:val="6A305861"/>
    <w:rsid w:val="6A55161C"/>
    <w:rsid w:val="6A5F4B38"/>
    <w:rsid w:val="6A65568E"/>
    <w:rsid w:val="6A7172B1"/>
    <w:rsid w:val="6A8213EE"/>
    <w:rsid w:val="6A87042F"/>
    <w:rsid w:val="6A9553FE"/>
    <w:rsid w:val="6AA1457D"/>
    <w:rsid w:val="6AB4579C"/>
    <w:rsid w:val="6ABF796A"/>
    <w:rsid w:val="6AC13145"/>
    <w:rsid w:val="6AC30E38"/>
    <w:rsid w:val="6ACE1BC9"/>
    <w:rsid w:val="6ADB66AC"/>
    <w:rsid w:val="6ADD74FD"/>
    <w:rsid w:val="6AE20869"/>
    <w:rsid w:val="6AE3471E"/>
    <w:rsid w:val="6AEA62D3"/>
    <w:rsid w:val="6AEE0C73"/>
    <w:rsid w:val="6AF6662F"/>
    <w:rsid w:val="6AFA5F10"/>
    <w:rsid w:val="6B0F0434"/>
    <w:rsid w:val="6B161FBD"/>
    <w:rsid w:val="6B275ADB"/>
    <w:rsid w:val="6B2A6A5F"/>
    <w:rsid w:val="6B3816B9"/>
    <w:rsid w:val="6B570F9E"/>
    <w:rsid w:val="6B704D44"/>
    <w:rsid w:val="6B7867DE"/>
    <w:rsid w:val="6B7A4A17"/>
    <w:rsid w:val="6B7F1BF6"/>
    <w:rsid w:val="6B8F6404"/>
    <w:rsid w:val="6B9512FD"/>
    <w:rsid w:val="6BB554FE"/>
    <w:rsid w:val="6BB77D0A"/>
    <w:rsid w:val="6BB875C8"/>
    <w:rsid w:val="6BB87BB7"/>
    <w:rsid w:val="6BC12EDC"/>
    <w:rsid w:val="6BC2294D"/>
    <w:rsid w:val="6BC71DE1"/>
    <w:rsid w:val="6BCA2D65"/>
    <w:rsid w:val="6BDA0E02"/>
    <w:rsid w:val="6BE02D0B"/>
    <w:rsid w:val="6BE255D8"/>
    <w:rsid w:val="6BE76A97"/>
    <w:rsid w:val="6BED679D"/>
    <w:rsid w:val="6BF056A3"/>
    <w:rsid w:val="6BF11FF8"/>
    <w:rsid w:val="6BF43FAF"/>
    <w:rsid w:val="6BFB1AB8"/>
    <w:rsid w:val="6BFB78C8"/>
    <w:rsid w:val="6BFE61C2"/>
    <w:rsid w:val="6C0309D8"/>
    <w:rsid w:val="6C1363EA"/>
    <w:rsid w:val="6C157962"/>
    <w:rsid w:val="6C1F175D"/>
    <w:rsid w:val="6C257DDA"/>
    <w:rsid w:val="6C3E480C"/>
    <w:rsid w:val="6C496EB7"/>
    <w:rsid w:val="6C4A348A"/>
    <w:rsid w:val="6C4A4478"/>
    <w:rsid w:val="6C5002D5"/>
    <w:rsid w:val="6C6700AC"/>
    <w:rsid w:val="6C6E2EE4"/>
    <w:rsid w:val="6C777224"/>
    <w:rsid w:val="6C83219C"/>
    <w:rsid w:val="6C833B41"/>
    <w:rsid w:val="6C953733"/>
    <w:rsid w:val="6C9803A4"/>
    <w:rsid w:val="6CB01D5E"/>
    <w:rsid w:val="6CB5662E"/>
    <w:rsid w:val="6CB761C7"/>
    <w:rsid w:val="6CC66FB4"/>
    <w:rsid w:val="6CC839C0"/>
    <w:rsid w:val="6CC92C88"/>
    <w:rsid w:val="6CD323B8"/>
    <w:rsid w:val="6CF33107"/>
    <w:rsid w:val="6D0D47A4"/>
    <w:rsid w:val="6D23681A"/>
    <w:rsid w:val="6D243939"/>
    <w:rsid w:val="6D303931"/>
    <w:rsid w:val="6D3125B4"/>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B46943"/>
    <w:rsid w:val="6DC62455"/>
    <w:rsid w:val="6DC9282B"/>
    <w:rsid w:val="6DC95E1A"/>
    <w:rsid w:val="6DD63018"/>
    <w:rsid w:val="6DF1016C"/>
    <w:rsid w:val="6DF8337A"/>
    <w:rsid w:val="6E035FBA"/>
    <w:rsid w:val="6E123F60"/>
    <w:rsid w:val="6E130BF0"/>
    <w:rsid w:val="6E185E2D"/>
    <w:rsid w:val="6E3F466A"/>
    <w:rsid w:val="6E4B02B6"/>
    <w:rsid w:val="6E4D7D3F"/>
    <w:rsid w:val="6E5231A4"/>
    <w:rsid w:val="6E5A40EE"/>
    <w:rsid w:val="6E5B561D"/>
    <w:rsid w:val="6E671D27"/>
    <w:rsid w:val="6E686BA4"/>
    <w:rsid w:val="6E6C58B8"/>
    <w:rsid w:val="6E6D5537"/>
    <w:rsid w:val="6E7304B3"/>
    <w:rsid w:val="6E7D48F4"/>
    <w:rsid w:val="6E86029D"/>
    <w:rsid w:val="6E9C16AF"/>
    <w:rsid w:val="6E9D390D"/>
    <w:rsid w:val="6EB70BFC"/>
    <w:rsid w:val="6EBC6825"/>
    <w:rsid w:val="6EC64CCC"/>
    <w:rsid w:val="6ECE6856"/>
    <w:rsid w:val="6ECF1E42"/>
    <w:rsid w:val="6ED6785C"/>
    <w:rsid w:val="6EE10B05"/>
    <w:rsid w:val="6EF047D8"/>
    <w:rsid w:val="6EFA4222"/>
    <w:rsid w:val="6EFF1A27"/>
    <w:rsid w:val="6F0472BB"/>
    <w:rsid w:val="6F0547B1"/>
    <w:rsid w:val="6F18644A"/>
    <w:rsid w:val="6F206808"/>
    <w:rsid w:val="6F301732"/>
    <w:rsid w:val="6F3B291C"/>
    <w:rsid w:val="6F50561C"/>
    <w:rsid w:val="6F537CC8"/>
    <w:rsid w:val="6F5B3B07"/>
    <w:rsid w:val="6F6000F3"/>
    <w:rsid w:val="6F663551"/>
    <w:rsid w:val="6F6C1317"/>
    <w:rsid w:val="6F700748"/>
    <w:rsid w:val="6F734DE5"/>
    <w:rsid w:val="6F7A7501"/>
    <w:rsid w:val="6F7C0176"/>
    <w:rsid w:val="6F8634C4"/>
    <w:rsid w:val="6F8B5D0F"/>
    <w:rsid w:val="6F98017A"/>
    <w:rsid w:val="6FAB7D95"/>
    <w:rsid w:val="6FAD23B4"/>
    <w:rsid w:val="6FAD5E72"/>
    <w:rsid w:val="6FBD7D61"/>
    <w:rsid w:val="6FBE53DB"/>
    <w:rsid w:val="6FC154F6"/>
    <w:rsid w:val="6FC42EAB"/>
    <w:rsid w:val="6FD101F3"/>
    <w:rsid w:val="6FD9000D"/>
    <w:rsid w:val="6FE54985"/>
    <w:rsid w:val="6FE63AA5"/>
    <w:rsid w:val="6FE74DA4"/>
    <w:rsid w:val="6FEC5771"/>
    <w:rsid w:val="6FEC7554"/>
    <w:rsid w:val="6FED2530"/>
    <w:rsid w:val="6FF1283A"/>
    <w:rsid w:val="6FF65844"/>
    <w:rsid w:val="70095D0E"/>
    <w:rsid w:val="700B23E9"/>
    <w:rsid w:val="70100167"/>
    <w:rsid w:val="70196ECC"/>
    <w:rsid w:val="702D331A"/>
    <w:rsid w:val="703C5B33"/>
    <w:rsid w:val="704E12D0"/>
    <w:rsid w:val="70563262"/>
    <w:rsid w:val="705873A3"/>
    <w:rsid w:val="70670B75"/>
    <w:rsid w:val="7071718D"/>
    <w:rsid w:val="707B1DA1"/>
    <w:rsid w:val="709910D5"/>
    <w:rsid w:val="70A84E00"/>
    <w:rsid w:val="70B30FF5"/>
    <w:rsid w:val="70B64551"/>
    <w:rsid w:val="70B64B15"/>
    <w:rsid w:val="70B70151"/>
    <w:rsid w:val="70B90980"/>
    <w:rsid w:val="70CE37DC"/>
    <w:rsid w:val="70D021EC"/>
    <w:rsid w:val="70D216D3"/>
    <w:rsid w:val="70D864B3"/>
    <w:rsid w:val="70DB6936"/>
    <w:rsid w:val="70DD65D9"/>
    <w:rsid w:val="70FA71EB"/>
    <w:rsid w:val="71185DA1"/>
    <w:rsid w:val="71534AAE"/>
    <w:rsid w:val="715948DA"/>
    <w:rsid w:val="71622CA5"/>
    <w:rsid w:val="716C54B9"/>
    <w:rsid w:val="716D157A"/>
    <w:rsid w:val="717A16B9"/>
    <w:rsid w:val="717C638C"/>
    <w:rsid w:val="717D793F"/>
    <w:rsid w:val="71804AF7"/>
    <w:rsid w:val="71844990"/>
    <w:rsid w:val="718616F7"/>
    <w:rsid w:val="718D2B11"/>
    <w:rsid w:val="71943B66"/>
    <w:rsid w:val="719B216D"/>
    <w:rsid w:val="71A86F83"/>
    <w:rsid w:val="71B46619"/>
    <w:rsid w:val="71B50108"/>
    <w:rsid w:val="71B752EE"/>
    <w:rsid w:val="71C66F16"/>
    <w:rsid w:val="71CF04C8"/>
    <w:rsid w:val="71DB12A7"/>
    <w:rsid w:val="71DF4EDF"/>
    <w:rsid w:val="71E619D1"/>
    <w:rsid w:val="72010916"/>
    <w:rsid w:val="72017C53"/>
    <w:rsid w:val="72076DCF"/>
    <w:rsid w:val="720C0228"/>
    <w:rsid w:val="72104A8F"/>
    <w:rsid w:val="72106F1F"/>
    <w:rsid w:val="721708BC"/>
    <w:rsid w:val="722B3FA0"/>
    <w:rsid w:val="722D2A5F"/>
    <w:rsid w:val="722D57C7"/>
    <w:rsid w:val="724062B5"/>
    <w:rsid w:val="724309E9"/>
    <w:rsid w:val="72491CAB"/>
    <w:rsid w:val="724A0704"/>
    <w:rsid w:val="724C22FA"/>
    <w:rsid w:val="724F4299"/>
    <w:rsid w:val="724F46F0"/>
    <w:rsid w:val="7255143F"/>
    <w:rsid w:val="726436E6"/>
    <w:rsid w:val="72700C83"/>
    <w:rsid w:val="727608D5"/>
    <w:rsid w:val="727A2B5F"/>
    <w:rsid w:val="727E6483"/>
    <w:rsid w:val="728453D5"/>
    <w:rsid w:val="728B087B"/>
    <w:rsid w:val="72935827"/>
    <w:rsid w:val="729B79DD"/>
    <w:rsid w:val="72A53147"/>
    <w:rsid w:val="72AA36AE"/>
    <w:rsid w:val="72BB1BA7"/>
    <w:rsid w:val="72D051AC"/>
    <w:rsid w:val="72D05F60"/>
    <w:rsid w:val="72D2308D"/>
    <w:rsid w:val="72D57898"/>
    <w:rsid w:val="72EA63C0"/>
    <w:rsid w:val="72ED426C"/>
    <w:rsid w:val="72F91A90"/>
    <w:rsid w:val="731C314C"/>
    <w:rsid w:val="73221787"/>
    <w:rsid w:val="732927A3"/>
    <w:rsid w:val="732B2982"/>
    <w:rsid w:val="733527D5"/>
    <w:rsid w:val="734333B2"/>
    <w:rsid w:val="73826B32"/>
    <w:rsid w:val="739D6139"/>
    <w:rsid w:val="73A34F4F"/>
    <w:rsid w:val="73B02110"/>
    <w:rsid w:val="73BB5331"/>
    <w:rsid w:val="73BD4470"/>
    <w:rsid w:val="73CB40BF"/>
    <w:rsid w:val="73CE0E30"/>
    <w:rsid w:val="73CE218C"/>
    <w:rsid w:val="73E133AB"/>
    <w:rsid w:val="73E47BB2"/>
    <w:rsid w:val="73F95D4E"/>
    <w:rsid w:val="74044161"/>
    <w:rsid w:val="740D716A"/>
    <w:rsid w:val="74194164"/>
    <w:rsid w:val="741C0ACA"/>
    <w:rsid w:val="742D6B25"/>
    <w:rsid w:val="742F0F2B"/>
    <w:rsid w:val="74344471"/>
    <w:rsid w:val="743708F7"/>
    <w:rsid w:val="743C65CD"/>
    <w:rsid w:val="744446C4"/>
    <w:rsid w:val="74480B41"/>
    <w:rsid w:val="74524A6C"/>
    <w:rsid w:val="74544764"/>
    <w:rsid w:val="745C6B72"/>
    <w:rsid w:val="745D46B6"/>
    <w:rsid w:val="745D5E4D"/>
    <w:rsid w:val="745F6D5D"/>
    <w:rsid w:val="746229FF"/>
    <w:rsid w:val="74665E60"/>
    <w:rsid w:val="746C4E46"/>
    <w:rsid w:val="747D4D81"/>
    <w:rsid w:val="747E2170"/>
    <w:rsid w:val="74807D4D"/>
    <w:rsid w:val="74852FD5"/>
    <w:rsid w:val="74951F55"/>
    <w:rsid w:val="74994FF2"/>
    <w:rsid w:val="74A44507"/>
    <w:rsid w:val="74A93ADB"/>
    <w:rsid w:val="74AB764B"/>
    <w:rsid w:val="74B54B4A"/>
    <w:rsid w:val="74BA0C6B"/>
    <w:rsid w:val="74BA308E"/>
    <w:rsid w:val="74BB501E"/>
    <w:rsid w:val="74BE575C"/>
    <w:rsid w:val="74C62534"/>
    <w:rsid w:val="74E23685"/>
    <w:rsid w:val="74EA0574"/>
    <w:rsid w:val="74EE31EA"/>
    <w:rsid w:val="74F227D5"/>
    <w:rsid w:val="74F479DA"/>
    <w:rsid w:val="74FA2880"/>
    <w:rsid w:val="750E421E"/>
    <w:rsid w:val="75100B8F"/>
    <w:rsid w:val="75122761"/>
    <w:rsid w:val="75180EA9"/>
    <w:rsid w:val="75224C45"/>
    <w:rsid w:val="75225CBF"/>
    <w:rsid w:val="75350693"/>
    <w:rsid w:val="75372EB1"/>
    <w:rsid w:val="75460C0C"/>
    <w:rsid w:val="7546677D"/>
    <w:rsid w:val="754B2AC0"/>
    <w:rsid w:val="754D466C"/>
    <w:rsid w:val="754F4CC4"/>
    <w:rsid w:val="755968DB"/>
    <w:rsid w:val="756E0B0A"/>
    <w:rsid w:val="756E1FF6"/>
    <w:rsid w:val="757031D9"/>
    <w:rsid w:val="757E6624"/>
    <w:rsid w:val="758075D4"/>
    <w:rsid w:val="75814167"/>
    <w:rsid w:val="75842DFC"/>
    <w:rsid w:val="75844CB2"/>
    <w:rsid w:val="75907C96"/>
    <w:rsid w:val="759B7AB5"/>
    <w:rsid w:val="75A51D92"/>
    <w:rsid w:val="75A667A1"/>
    <w:rsid w:val="75B545AA"/>
    <w:rsid w:val="75B940C4"/>
    <w:rsid w:val="75B9416A"/>
    <w:rsid w:val="75BE0722"/>
    <w:rsid w:val="75C247F2"/>
    <w:rsid w:val="75CD7BB5"/>
    <w:rsid w:val="75DB5451"/>
    <w:rsid w:val="75E37678"/>
    <w:rsid w:val="75E9665D"/>
    <w:rsid w:val="75F43D62"/>
    <w:rsid w:val="75F60897"/>
    <w:rsid w:val="75F87197"/>
    <w:rsid w:val="760E5F05"/>
    <w:rsid w:val="762E28FD"/>
    <w:rsid w:val="76437D02"/>
    <w:rsid w:val="765120A6"/>
    <w:rsid w:val="765500F3"/>
    <w:rsid w:val="766146C3"/>
    <w:rsid w:val="76634AEC"/>
    <w:rsid w:val="766E17DB"/>
    <w:rsid w:val="76724739"/>
    <w:rsid w:val="767F05D4"/>
    <w:rsid w:val="76894CC3"/>
    <w:rsid w:val="768A5887"/>
    <w:rsid w:val="769245DD"/>
    <w:rsid w:val="76942C42"/>
    <w:rsid w:val="769C48A8"/>
    <w:rsid w:val="76BA05D5"/>
    <w:rsid w:val="76BF7D3D"/>
    <w:rsid w:val="76C52AEB"/>
    <w:rsid w:val="76CA40F3"/>
    <w:rsid w:val="76D264D4"/>
    <w:rsid w:val="76D36F81"/>
    <w:rsid w:val="76D917F6"/>
    <w:rsid w:val="76E955C3"/>
    <w:rsid w:val="76F8393D"/>
    <w:rsid w:val="76FA22C3"/>
    <w:rsid w:val="76FA75DB"/>
    <w:rsid w:val="76FD43AC"/>
    <w:rsid w:val="770706D4"/>
    <w:rsid w:val="77123ACC"/>
    <w:rsid w:val="771774C5"/>
    <w:rsid w:val="77225399"/>
    <w:rsid w:val="77247924"/>
    <w:rsid w:val="772B1B20"/>
    <w:rsid w:val="774554AD"/>
    <w:rsid w:val="77476B1B"/>
    <w:rsid w:val="774B6692"/>
    <w:rsid w:val="77510935"/>
    <w:rsid w:val="775F676C"/>
    <w:rsid w:val="77601CBF"/>
    <w:rsid w:val="77634F3B"/>
    <w:rsid w:val="777F4D67"/>
    <w:rsid w:val="77821A9D"/>
    <w:rsid w:val="77850D38"/>
    <w:rsid w:val="77910638"/>
    <w:rsid w:val="77926E10"/>
    <w:rsid w:val="779B3146"/>
    <w:rsid w:val="77A117D6"/>
    <w:rsid w:val="77A26354"/>
    <w:rsid w:val="77BF3850"/>
    <w:rsid w:val="77CD3540"/>
    <w:rsid w:val="77CE14EF"/>
    <w:rsid w:val="77CE269B"/>
    <w:rsid w:val="77D36332"/>
    <w:rsid w:val="77D62A56"/>
    <w:rsid w:val="77E62733"/>
    <w:rsid w:val="77EA060C"/>
    <w:rsid w:val="77F84B71"/>
    <w:rsid w:val="77FE53E9"/>
    <w:rsid w:val="78011BF1"/>
    <w:rsid w:val="780E1955"/>
    <w:rsid w:val="78293DC3"/>
    <w:rsid w:val="782D2D9B"/>
    <w:rsid w:val="782F143B"/>
    <w:rsid w:val="782F7B31"/>
    <w:rsid w:val="783720CB"/>
    <w:rsid w:val="78380568"/>
    <w:rsid w:val="783A6B2F"/>
    <w:rsid w:val="783F4F70"/>
    <w:rsid w:val="784514CF"/>
    <w:rsid w:val="78466E62"/>
    <w:rsid w:val="785712FB"/>
    <w:rsid w:val="785B4C20"/>
    <w:rsid w:val="785D218D"/>
    <w:rsid w:val="78630991"/>
    <w:rsid w:val="78704423"/>
    <w:rsid w:val="787E4A3E"/>
    <w:rsid w:val="78903BC9"/>
    <w:rsid w:val="78912980"/>
    <w:rsid w:val="7893195B"/>
    <w:rsid w:val="78965720"/>
    <w:rsid w:val="78AB4E34"/>
    <w:rsid w:val="78B8567C"/>
    <w:rsid w:val="78D62FC2"/>
    <w:rsid w:val="78D7094F"/>
    <w:rsid w:val="78D928D7"/>
    <w:rsid w:val="78E8667F"/>
    <w:rsid w:val="78E93563"/>
    <w:rsid w:val="78EF1738"/>
    <w:rsid w:val="78F7615B"/>
    <w:rsid w:val="78FD2962"/>
    <w:rsid w:val="7907155B"/>
    <w:rsid w:val="792063BD"/>
    <w:rsid w:val="79240A4F"/>
    <w:rsid w:val="792924D9"/>
    <w:rsid w:val="79307089"/>
    <w:rsid w:val="79373219"/>
    <w:rsid w:val="793763EA"/>
    <w:rsid w:val="793A761F"/>
    <w:rsid w:val="793D367B"/>
    <w:rsid w:val="793F707A"/>
    <w:rsid w:val="79421D81"/>
    <w:rsid w:val="79432895"/>
    <w:rsid w:val="794625CC"/>
    <w:rsid w:val="794A4288"/>
    <w:rsid w:val="794C7980"/>
    <w:rsid w:val="7954036F"/>
    <w:rsid w:val="795F14E6"/>
    <w:rsid w:val="7963139E"/>
    <w:rsid w:val="798B23A6"/>
    <w:rsid w:val="798D1378"/>
    <w:rsid w:val="79934622"/>
    <w:rsid w:val="799C5748"/>
    <w:rsid w:val="79A10018"/>
    <w:rsid w:val="79A86542"/>
    <w:rsid w:val="79AA6729"/>
    <w:rsid w:val="79AF7ABE"/>
    <w:rsid w:val="79BD180A"/>
    <w:rsid w:val="79BE5E62"/>
    <w:rsid w:val="79BF1360"/>
    <w:rsid w:val="79C31852"/>
    <w:rsid w:val="79D00261"/>
    <w:rsid w:val="79D72059"/>
    <w:rsid w:val="79E179F6"/>
    <w:rsid w:val="79E92F86"/>
    <w:rsid w:val="79E9620E"/>
    <w:rsid w:val="79EA7513"/>
    <w:rsid w:val="79EC33C3"/>
    <w:rsid w:val="79EC4C14"/>
    <w:rsid w:val="79F03B57"/>
    <w:rsid w:val="7A0C2F4B"/>
    <w:rsid w:val="7A1C1793"/>
    <w:rsid w:val="7A1C4DC7"/>
    <w:rsid w:val="7A2B7F7C"/>
    <w:rsid w:val="7A34668D"/>
    <w:rsid w:val="7A3A078E"/>
    <w:rsid w:val="7A45124E"/>
    <w:rsid w:val="7A4665A8"/>
    <w:rsid w:val="7A4778AC"/>
    <w:rsid w:val="7A4C7BCA"/>
    <w:rsid w:val="7A527CB8"/>
    <w:rsid w:val="7A646BED"/>
    <w:rsid w:val="7A7F0907"/>
    <w:rsid w:val="7A7F307F"/>
    <w:rsid w:val="7A850292"/>
    <w:rsid w:val="7A864059"/>
    <w:rsid w:val="7A991285"/>
    <w:rsid w:val="7A9D151C"/>
    <w:rsid w:val="7AA26CC1"/>
    <w:rsid w:val="7AA36941"/>
    <w:rsid w:val="7AA443C3"/>
    <w:rsid w:val="7AAC03BC"/>
    <w:rsid w:val="7AAE2A2E"/>
    <w:rsid w:val="7AB2157C"/>
    <w:rsid w:val="7AB5655C"/>
    <w:rsid w:val="7AC179AB"/>
    <w:rsid w:val="7AC357D7"/>
    <w:rsid w:val="7AC528C4"/>
    <w:rsid w:val="7ACE4545"/>
    <w:rsid w:val="7AD103AF"/>
    <w:rsid w:val="7AD631B4"/>
    <w:rsid w:val="7AE80992"/>
    <w:rsid w:val="7AE9752E"/>
    <w:rsid w:val="7AEC1055"/>
    <w:rsid w:val="7AF51135"/>
    <w:rsid w:val="7AF60178"/>
    <w:rsid w:val="7AFE078F"/>
    <w:rsid w:val="7B016CDB"/>
    <w:rsid w:val="7B02475C"/>
    <w:rsid w:val="7B025D7E"/>
    <w:rsid w:val="7B0320BB"/>
    <w:rsid w:val="7B0E4101"/>
    <w:rsid w:val="7B192CA1"/>
    <w:rsid w:val="7B1E43DB"/>
    <w:rsid w:val="7B1E76B6"/>
    <w:rsid w:val="7B213578"/>
    <w:rsid w:val="7B3D12FD"/>
    <w:rsid w:val="7B4D1359"/>
    <w:rsid w:val="7B4E742F"/>
    <w:rsid w:val="7B5204F9"/>
    <w:rsid w:val="7B5257E0"/>
    <w:rsid w:val="7B5876EA"/>
    <w:rsid w:val="7B623397"/>
    <w:rsid w:val="7B6E3852"/>
    <w:rsid w:val="7B723B17"/>
    <w:rsid w:val="7B745405"/>
    <w:rsid w:val="7B8713FA"/>
    <w:rsid w:val="7B907FDF"/>
    <w:rsid w:val="7B9704D3"/>
    <w:rsid w:val="7BA1555F"/>
    <w:rsid w:val="7BA51C14"/>
    <w:rsid w:val="7BAD4BF5"/>
    <w:rsid w:val="7BC71022"/>
    <w:rsid w:val="7BC8745E"/>
    <w:rsid w:val="7BCD7043"/>
    <w:rsid w:val="7BD44AB5"/>
    <w:rsid w:val="7BD75A39"/>
    <w:rsid w:val="7BDA2B39"/>
    <w:rsid w:val="7BE65320"/>
    <w:rsid w:val="7BFD2FC3"/>
    <w:rsid w:val="7C001068"/>
    <w:rsid w:val="7C2118A6"/>
    <w:rsid w:val="7C222636"/>
    <w:rsid w:val="7C274E7E"/>
    <w:rsid w:val="7C280E42"/>
    <w:rsid w:val="7C4405EC"/>
    <w:rsid w:val="7C4902F7"/>
    <w:rsid w:val="7C4E2200"/>
    <w:rsid w:val="7C520C06"/>
    <w:rsid w:val="7C5E225A"/>
    <w:rsid w:val="7C7855C3"/>
    <w:rsid w:val="7C7B2E38"/>
    <w:rsid w:val="7C7F4F3C"/>
    <w:rsid w:val="7C931E15"/>
    <w:rsid w:val="7C9C55B4"/>
    <w:rsid w:val="7C9F5482"/>
    <w:rsid w:val="7CA544A2"/>
    <w:rsid w:val="7CAA541E"/>
    <w:rsid w:val="7CB347D7"/>
    <w:rsid w:val="7CB70CBA"/>
    <w:rsid w:val="7CBC25C4"/>
    <w:rsid w:val="7CC72DC3"/>
    <w:rsid w:val="7CCD67D7"/>
    <w:rsid w:val="7CD4481A"/>
    <w:rsid w:val="7CD939A2"/>
    <w:rsid w:val="7CE21673"/>
    <w:rsid w:val="7CE2570E"/>
    <w:rsid w:val="7CEE0A85"/>
    <w:rsid w:val="7CEE13C1"/>
    <w:rsid w:val="7CF45745"/>
    <w:rsid w:val="7CFC5143"/>
    <w:rsid w:val="7D002024"/>
    <w:rsid w:val="7D0351A7"/>
    <w:rsid w:val="7D0920E2"/>
    <w:rsid w:val="7D1665FE"/>
    <w:rsid w:val="7D1B284D"/>
    <w:rsid w:val="7D1C5D42"/>
    <w:rsid w:val="7D34019B"/>
    <w:rsid w:val="7D3C4DB4"/>
    <w:rsid w:val="7D4033FD"/>
    <w:rsid w:val="7D4633F9"/>
    <w:rsid w:val="7D4D5856"/>
    <w:rsid w:val="7D537A55"/>
    <w:rsid w:val="7D6B18A4"/>
    <w:rsid w:val="7D737A9C"/>
    <w:rsid w:val="7D8E7309"/>
    <w:rsid w:val="7D923E44"/>
    <w:rsid w:val="7D941212"/>
    <w:rsid w:val="7DAA16F6"/>
    <w:rsid w:val="7DBE014A"/>
    <w:rsid w:val="7DBE36DC"/>
    <w:rsid w:val="7DCF5B74"/>
    <w:rsid w:val="7DE14EF9"/>
    <w:rsid w:val="7DE779C7"/>
    <w:rsid w:val="7DF16A19"/>
    <w:rsid w:val="7DF83689"/>
    <w:rsid w:val="7E183EEA"/>
    <w:rsid w:val="7E18635A"/>
    <w:rsid w:val="7E18651E"/>
    <w:rsid w:val="7E194EBD"/>
    <w:rsid w:val="7E3F2260"/>
    <w:rsid w:val="7E430A62"/>
    <w:rsid w:val="7E433C86"/>
    <w:rsid w:val="7E440B2B"/>
    <w:rsid w:val="7E4A22B2"/>
    <w:rsid w:val="7E4D6442"/>
    <w:rsid w:val="7E4E7747"/>
    <w:rsid w:val="7E4F61B6"/>
    <w:rsid w:val="7E526150"/>
    <w:rsid w:val="7E6752B6"/>
    <w:rsid w:val="7E717A7B"/>
    <w:rsid w:val="7E753C6C"/>
    <w:rsid w:val="7E784D07"/>
    <w:rsid w:val="7E80292D"/>
    <w:rsid w:val="7E84382C"/>
    <w:rsid w:val="7E855AE7"/>
    <w:rsid w:val="7E9D718F"/>
    <w:rsid w:val="7EA7411B"/>
    <w:rsid w:val="7EA874D5"/>
    <w:rsid w:val="7EAA0221"/>
    <w:rsid w:val="7EB02A3C"/>
    <w:rsid w:val="7EB714C1"/>
    <w:rsid w:val="7EBF0D00"/>
    <w:rsid w:val="7EC1483F"/>
    <w:rsid w:val="7ECE1934"/>
    <w:rsid w:val="7ED326C7"/>
    <w:rsid w:val="7EED3DCE"/>
    <w:rsid w:val="7F0A6F2E"/>
    <w:rsid w:val="7F207662"/>
    <w:rsid w:val="7F21551C"/>
    <w:rsid w:val="7F251450"/>
    <w:rsid w:val="7F381A47"/>
    <w:rsid w:val="7F3932D6"/>
    <w:rsid w:val="7F3A5C16"/>
    <w:rsid w:val="7F3B3199"/>
    <w:rsid w:val="7F3D07F6"/>
    <w:rsid w:val="7F4334D7"/>
    <w:rsid w:val="7F4D23DA"/>
    <w:rsid w:val="7F533772"/>
    <w:rsid w:val="7F59567B"/>
    <w:rsid w:val="7F5F2E08"/>
    <w:rsid w:val="7F613C7E"/>
    <w:rsid w:val="7F6C60C6"/>
    <w:rsid w:val="7F7D7E39"/>
    <w:rsid w:val="7F827F3A"/>
    <w:rsid w:val="7F912BF1"/>
    <w:rsid w:val="7F9E1932"/>
    <w:rsid w:val="7F9F256C"/>
    <w:rsid w:val="7FA4150B"/>
    <w:rsid w:val="7FA61A8E"/>
    <w:rsid w:val="7FA870B3"/>
    <w:rsid w:val="7FAB4AF0"/>
    <w:rsid w:val="7FB56D30"/>
    <w:rsid w:val="7FC0250D"/>
    <w:rsid w:val="7FC35A90"/>
    <w:rsid w:val="7FCC65E5"/>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30"/>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46</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2024-10-07T13:19:54Z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